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4A3C" w:rsidRDefault="00F94A3C" w:rsidP="00F94A3C">
      <w:pPr>
        <w:suppressLineNumbers/>
        <w:rPr>
          <w:rFonts w:hint="cs"/>
          <w:rtl/>
        </w:rPr>
      </w:pPr>
    </w:p>
    <w:p w:rsidR="00AC0972" w:rsidRDefault="00AC0972" w:rsidP="00AC0972">
      <w:pPr>
        <w:suppressLineNumbers/>
        <w:jc w:val="center"/>
        <w:rPr>
          <w:rtl/>
        </w:rPr>
      </w:pPr>
      <w:r>
        <w:drawing>
          <wp:inline distT="0" distB="0" distL="0" distR="0" wp14:anchorId="51620DA6" wp14:editId="1050E916">
            <wp:extent cx="374015" cy="469265"/>
            <wp:effectExtent l="0" t="0" r="6985" b="6985"/>
            <wp:docPr id="3" name="Picture 1" descr="ישראל - המנורה - 2"/>
            <wp:cNvGraphicFramePr/>
            <a:graphic xmlns:a="http://schemas.openxmlformats.org/drawingml/2006/main">
              <a:graphicData uri="http://schemas.openxmlformats.org/drawingml/2006/picture">
                <pic:pic xmlns:pic="http://schemas.openxmlformats.org/drawingml/2006/picture">
                  <pic:nvPicPr>
                    <pic:cNvPr id="3" name="Picture 1" descr="ישראל - המנורה - 2"/>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4809"/>
        <w:gridCol w:w="3497"/>
      </w:tblGrid>
      <w:tr w:rsidR="00AC0972" w:rsidTr="00AC0972">
        <w:trPr>
          <w:trHeight w:val="704"/>
          <w:jc w:val="center"/>
        </w:trPr>
        <w:sdt>
          <w:sdtPr>
            <w:rPr>
              <w:rFonts w:ascii="Tahoma" w:hAnsi="Tahoma"/>
              <w:color w:val="000080"/>
              <w:sz w:val="32"/>
              <w:szCs w:val="32"/>
              <w:rtl/>
            </w:rPr>
            <w:alias w:val="1174"/>
            <w:tag w:val="1174"/>
            <w:id w:val="-1585920285"/>
            <w:text w:multiLine="1"/>
          </w:sdtPr>
          <w:sdtEndPr/>
          <w:sdtContent>
            <w:tc>
              <w:tcPr>
                <w:tcW w:w="8721" w:type="dxa"/>
                <w:gridSpan w:val="2"/>
                <w:hideMark/>
              </w:tcPr>
              <w:p w:rsidR="00AC0972" w:rsidRDefault="00AC0972">
                <w:pPr>
                  <w:pStyle w:val="a5"/>
                  <w:jc w:val="center"/>
                  <w:rPr>
                    <w:rFonts w:ascii="Tahoma" w:hAnsi="Tahoma"/>
                    <w:color w:val="000080"/>
                    <w:sz w:val="32"/>
                    <w:szCs w:val="32"/>
                  </w:rPr>
                </w:pPr>
                <w:r>
                  <w:rPr>
                    <w:rFonts w:ascii="Tahoma" w:hAnsi="Tahoma"/>
                    <w:color w:val="000080"/>
                    <w:sz w:val="32"/>
                    <w:szCs w:val="32"/>
                    <w:rtl/>
                  </w:rPr>
                  <w:t>בית המשפט המחוזי בבאר שבע</w:t>
                </w:r>
              </w:p>
            </w:tc>
          </w:sdtContent>
        </w:sdt>
      </w:tr>
      <w:tr w:rsidR="00AC0972" w:rsidTr="00AC0972">
        <w:trPr>
          <w:trHeight w:val="337"/>
          <w:jc w:val="center"/>
        </w:trPr>
        <w:tc>
          <w:tcPr>
            <w:tcW w:w="5047" w:type="dxa"/>
          </w:tcPr>
          <w:p w:rsidR="00AC0972" w:rsidRDefault="00AC0972">
            <w:pPr>
              <w:rPr>
                <w:b/>
                <w:bCs/>
                <w:noProof w:val="0"/>
                <w:sz w:val="26"/>
                <w:szCs w:val="26"/>
                <w:rtl/>
              </w:rPr>
            </w:pPr>
          </w:p>
        </w:tc>
        <w:tc>
          <w:tcPr>
            <w:tcW w:w="3674" w:type="dxa"/>
          </w:tcPr>
          <w:p w:rsidR="00AC0972" w:rsidRDefault="00AC0972">
            <w:pPr>
              <w:pStyle w:val="a5"/>
              <w:jc w:val="right"/>
              <w:rPr>
                <w:b/>
                <w:bCs/>
                <w:noProof w:val="0"/>
                <w:sz w:val="26"/>
                <w:szCs w:val="26"/>
                <w:rtl/>
              </w:rPr>
            </w:pPr>
          </w:p>
        </w:tc>
      </w:tr>
      <w:bookmarkStart w:id="0" w:name="_GoBack"/>
      <w:tr w:rsidR="00AC0972" w:rsidTr="00AC0972">
        <w:trPr>
          <w:trHeight w:val="337"/>
          <w:jc w:val="center"/>
        </w:trPr>
        <w:tc>
          <w:tcPr>
            <w:tcW w:w="8721" w:type="dxa"/>
            <w:gridSpan w:val="2"/>
          </w:tcPr>
          <w:p w:rsidR="00AC0972" w:rsidRDefault="00E5416E" w:rsidP="00AC0972">
            <w:pPr>
              <w:rPr>
                <w:b/>
                <w:bCs/>
                <w:noProof w:val="0"/>
                <w:sz w:val="26"/>
                <w:szCs w:val="26"/>
                <w:rtl/>
              </w:rPr>
            </w:pPr>
            <w:sdt>
              <w:sdtPr>
                <w:rPr>
                  <w:rtl/>
                </w:rPr>
                <w:alias w:val="1170"/>
                <w:tag w:val="1170"/>
                <w:id w:val="1066377040"/>
                <w:text w:multiLine="1"/>
              </w:sdtPr>
              <w:sdtEndPr/>
              <w:sdtContent>
                <w:proofErr w:type="spellStart"/>
                <w:r w:rsidR="00AC0972">
                  <w:rPr>
                    <w:b/>
                    <w:bCs/>
                    <w:noProof w:val="0"/>
                    <w:sz w:val="26"/>
                    <w:szCs w:val="26"/>
                    <w:rtl/>
                  </w:rPr>
                  <w:t>רמ"ש</w:t>
                </w:r>
                <w:proofErr w:type="spellEnd"/>
              </w:sdtContent>
            </w:sdt>
            <w:r w:rsidR="00AC0972">
              <w:rPr>
                <w:b/>
                <w:bCs/>
                <w:noProof w:val="0"/>
                <w:sz w:val="26"/>
                <w:szCs w:val="26"/>
                <w:rtl/>
              </w:rPr>
              <w:t xml:space="preserve"> </w:t>
            </w:r>
            <w:sdt>
              <w:sdtPr>
                <w:rPr>
                  <w:rtl/>
                </w:rPr>
                <w:alias w:val="1171"/>
                <w:tag w:val="1171"/>
                <w:id w:val="257034231"/>
                <w:text w:multiLine="1"/>
              </w:sdtPr>
              <w:sdtEndPr/>
              <w:sdtContent>
                <w:r w:rsidR="00AC0972">
                  <w:rPr>
                    <w:b/>
                    <w:bCs/>
                    <w:noProof w:val="0"/>
                    <w:sz w:val="26"/>
                    <w:szCs w:val="26"/>
                    <w:rtl/>
                  </w:rPr>
                  <w:t>50773-06-23</w:t>
                </w:r>
              </w:sdtContent>
            </w:sdt>
            <w:bookmarkEnd w:id="0"/>
            <w:r w:rsidR="00AC0972">
              <w:rPr>
                <w:b/>
                <w:bCs/>
                <w:noProof w:val="0"/>
                <w:sz w:val="26"/>
                <w:szCs w:val="26"/>
                <w:rtl/>
              </w:rPr>
              <w:t xml:space="preserve"> </w:t>
            </w:r>
            <w:sdt>
              <w:sdtPr>
                <w:rPr>
                  <w:b/>
                  <w:bCs/>
                  <w:noProof w:val="0"/>
                  <w:sz w:val="26"/>
                  <w:szCs w:val="26"/>
                  <w:rtl/>
                </w:rPr>
                <w:alias w:val="3154"/>
                <w:tag w:val="3154"/>
                <w:id w:val="-1714497037"/>
                <w:placeholder>
                  <w:docPart w:val="E138678AF2644FA4AA86D05596B614F7"/>
                </w:placeholder>
                <w:text w:multiLine="1"/>
              </w:sdtPr>
              <w:sdtEndPr/>
              <w:sdtContent>
                <w:r w:rsidR="00AC0972">
                  <w:rPr>
                    <w:rFonts w:hint="cs"/>
                    <w:b/>
                    <w:bCs/>
                    <w:noProof w:val="0"/>
                    <w:sz w:val="26"/>
                    <w:szCs w:val="26"/>
                    <w:rtl/>
                  </w:rPr>
                  <w:t>פלוני</w:t>
                </w:r>
                <w:r w:rsidR="00AC0972">
                  <w:rPr>
                    <w:b/>
                    <w:bCs/>
                    <w:noProof w:val="0"/>
                    <w:sz w:val="26"/>
                    <w:szCs w:val="26"/>
                    <w:rtl/>
                  </w:rPr>
                  <w:t xml:space="preserve"> נ' </w:t>
                </w:r>
                <w:r w:rsidR="00AC0972">
                  <w:rPr>
                    <w:rFonts w:hint="cs"/>
                    <w:b/>
                    <w:bCs/>
                    <w:noProof w:val="0"/>
                    <w:sz w:val="26"/>
                    <w:szCs w:val="26"/>
                    <w:rtl/>
                  </w:rPr>
                  <w:t>פלונית</w:t>
                </w:r>
              </w:sdtContent>
            </w:sdt>
            <w:r w:rsidR="00AC0972">
              <w:rPr>
                <w:b/>
                <w:bCs/>
                <w:noProof w:val="0"/>
                <w:sz w:val="26"/>
                <w:szCs w:val="26"/>
                <w:rtl/>
              </w:rPr>
              <w:t xml:space="preserve"> </w:t>
            </w:r>
          </w:p>
          <w:p w:rsidR="00AC0972" w:rsidRDefault="00AC0972">
            <w:pPr>
              <w:rPr>
                <w:b/>
                <w:bCs/>
                <w:noProof w:val="0"/>
                <w:sz w:val="2"/>
                <w:szCs w:val="2"/>
                <w:rtl/>
              </w:rPr>
            </w:pPr>
          </w:p>
          <w:p w:rsidR="00AC0972" w:rsidRDefault="00AC0972">
            <w:pPr>
              <w:rPr>
                <w:sz w:val="20"/>
                <w:szCs w:val="20"/>
                <w:rtl/>
              </w:rPr>
            </w:pPr>
            <w:r>
              <w:rPr>
                <w:rtl/>
              </w:rPr>
              <w:t xml:space="preserve">                           </w:t>
            </w:r>
            <w:r>
              <w:rPr>
                <w:sz w:val="20"/>
                <w:szCs w:val="20"/>
                <w:rtl/>
              </w:rPr>
              <w:t xml:space="preserve">                                       </w:t>
            </w:r>
          </w:p>
          <w:p w:rsidR="00AC0972" w:rsidRDefault="00AC0972">
            <w:pPr>
              <w:rPr>
                <w:sz w:val="20"/>
                <w:szCs w:val="20"/>
                <w:rtl/>
              </w:rPr>
            </w:pPr>
            <w:r>
              <w:rPr>
                <w:sz w:val="20"/>
                <w:szCs w:val="20"/>
                <w:rtl/>
              </w:rPr>
              <w:t xml:space="preserve">תיק חיצוני: </w:t>
            </w:r>
            <w:sdt>
              <w:sdtPr>
                <w:rPr>
                  <w:sz w:val="20"/>
                  <w:szCs w:val="20"/>
                  <w:rtl/>
                </w:rPr>
                <w:alias w:val="1198"/>
                <w:tag w:val="1198"/>
                <w:id w:val="-1755966748"/>
                <w:lock w:val="contentLocked"/>
                <w:placeholder>
                  <w:docPart w:val="42342ED7171B494DA4BAFC8D85721DDD"/>
                </w:placeholder>
                <w:text w:multiLine="1"/>
              </w:sdtPr>
              <w:sdtEndPr/>
              <w:sdtContent/>
            </w:sdt>
            <w:r>
              <w:rPr>
                <w:sz w:val="20"/>
                <w:szCs w:val="20"/>
                <w:rtl/>
              </w:rPr>
              <w:t xml:space="preserve">   </w:t>
            </w:r>
          </w:p>
        </w:tc>
      </w:tr>
    </w:tbl>
    <w:p w:rsidR="00AC0972" w:rsidRDefault="00AC0972" w:rsidP="00F94A3C">
      <w:pPr>
        <w:suppressLineNumbers/>
        <w:rPr>
          <w:rtl/>
        </w:rPr>
      </w:pPr>
    </w:p>
    <w:p w:rsidR="00AC0972" w:rsidRDefault="00AC0972" w:rsidP="00F94A3C">
      <w:pPr>
        <w:suppressLineNumbers/>
        <w:rPr>
          <w:rtl/>
        </w:rPr>
      </w:pPr>
    </w:p>
    <w:tbl>
      <w:tblPr>
        <w:tblStyle w:val="a4"/>
        <w:bidiVisual/>
        <w:tblW w:w="6337"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265"/>
        <w:gridCol w:w="1101"/>
        <w:gridCol w:w="5917"/>
        <w:gridCol w:w="23"/>
      </w:tblGrid>
      <w:tr w:rsidR="00F94A3C" w:rsidTr="00AC0972">
        <w:trPr>
          <w:jc w:val="center"/>
        </w:trPr>
        <w:tc>
          <w:tcPr>
            <w:tcW w:w="236" w:type="dxa"/>
            <w:hideMark/>
          </w:tcPr>
          <w:p w:rsidR="00F94A3C" w:rsidRDefault="00F94A3C" w:rsidP="00102C7B">
            <w:pPr>
              <w:suppressLineNumbers/>
              <w:jc w:val="left"/>
              <w:rPr>
                <w:rFonts w:ascii="Arial" w:hAnsi="Arial"/>
                <w:b/>
                <w:bCs/>
                <w:sz w:val="26"/>
                <w:szCs w:val="26"/>
                <w:rtl/>
              </w:rPr>
            </w:pPr>
            <w:r>
              <w:rPr>
                <w:rFonts w:ascii="Arial" w:hAnsi="Arial"/>
                <w:b/>
                <w:bCs/>
                <w:sz w:val="26"/>
                <w:szCs w:val="26"/>
                <w:rtl/>
              </w:rPr>
              <w:t xml:space="preserve">בפני </w:t>
            </w:r>
            <w:r w:rsidR="00AC0972">
              <w:rPr>
                <w:rFonts w:ascii="Arial" w:hAnsi="Arial" w:hint="cs"/>
                <w:b/>
                <w:bCs/>
                <w:sz w:val="26"/>
                <w:szCs w:val="26"/>
                <w:rtl/>
              </w:rPr>
              <w:t xml:space="preserve"> כבוד </w:t>
            </w:r>
          </w:p>
        </w:tc>
        <w:tc>
          <w:tcPr>
            <w:tcW w:w="6101" w:type="dxa"/>
            <w:gridSpan w:val="3"/>
          </w:tcPr>
          <w:p w:rsidR="00F94A3C" w:rsidRDefault="00F94A3C" w:rsidP="00102C7B">
            <w:pPr>
              <w:suppressLineNumbers/>
              <w:jc w:val="left"/>
              <w:rPr>
                <w:rFonts w:ascii="Arial" w:hAnsi="Arial"/>
                <w:b/>
                <w:bCs/>
                <w:sz w:val="26"/>
                <w:szCs w:val="26"/>
                <w:rtl/>
              </w:rPr>
            </w:pPr>
            <w:r>
              <w:rPr>
                <w:rFonts w:ascii="Arial" w:hAnsi="Arial"/>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שופטת</w:t>
                </w:r>
              </w:sdtContent>
            </w:sdt>
            <w:r>
              <w:rPr>
                <w:rFonts w:ascii="Arial" w:hAnsi="Arial"/>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פאני גילת כהן</w:t>
                </w:r>
              </w:sdtContent>
            </w:sdt>
          </w:p>
          <w:p w:rsidR="00F94A3C" w:rsidRDefault="00F94A3C">
            <w:pPr>
              <w:suppressLineNumbers/>
              <w:rPr>
                <w:sz w:val="26"/>
                <w:szCs w:val="26"/>
                <w:rtl/>
              </w:rPr>
            </w:pPr>
          </w:p>
        </w:tc>
      </w:tr>
      <w:tr w:rsidR="00F94A3C" w:rsidTr="00AC0972">
        <w:trPr>
          <w:gridAfter w:val="1"/>
          <w:wAfter w:w="20" w:type="dxa"/>
          <w:jc w:val="center"/>
        </w:trPr>
        <w:tc>
          <w:tcPr>
            <w:tcW w:w="1008" w:type="dxa"/>
            <w:gridSpan w:val="2"/>
          </w:tcPr>
          <w:p w:rsidR="00F94A3C" w:rsidRDefault="00F94A3C">
            <w:pPr>
              <w:suppressLineNumbers/>
            </w:pPr>
          </w:p>
          <w:sdt>
            <w:sdtPr>
              <w:rPr>
                <w:rtl/>
              </w:rPr>
              <w:alias w:val="1180"/>
              <w:tag w:val="1180"/>
              <w:id w:val="637458750"/>
              <w:text w:multiLine="1"/>
            </w:sdtPr>
            <w:sdtEndPr/>
            <w:sdtContent>
              <w:p w:rsidR="00F94A3C" w:rsidRDefault="00F94A3C" w:rsidP="00102C7B">
                <w:pPr>
                  <w:suppressLineNumbers/>
                  <w:jc w:val="left"/>
                  <w:rPr>
                    <w:rFonts w:ascii="Arial" w:hAnsi="Arial"/>
                    <w:b/>
                    <w:bCs/>
                    <w:noProof w:val="0"/>
                    <w:sz w:val="26"/>
                    <w:szCs w:val="26"/>
                    <w:rtl/>
                  </w:rPr>
                </w:pPr>
                <w:r>
                  <w:rPr>
                    <w:rFonts w:ascii="Arial" w:hAnsi="Arial"/>
                    <w:b/>
                    <w:bCs/>
                    <w:noProof w:val="0"/>
                    <w:sz w:val="26"/>
                    <w:szCs w:val="26"/>
                    <w:rtl/>
                  </w:rPr>
                  <w:t xml:space="preserve"> המבקש</w:t>
                </w:r>
              </w:p>
            </w:sdtContent>
          </w:sdt>
        </w:tc>
        <w:tc>
          <w:tcPr>
            <w:tcW w:w="5309" w:type="dxa"/>
          </w:tcPr>
          <w:p w:rsidR="00F94A3C" w:rsidRDefault="00F94A3C">
            <w:pPr>
              <w:suppressLineNumbers/>
              <w:rPr>
                <w:rtl/>
              </w:rPr>
            </w:pPr>
          </w:p>
          <w:p w:rsidR="00F94A3C" w:rsidRDefault="00E5416E" w:rsidP="00102C7B">
            <w:pPr>
              <w:suppressLineNumbers/>
              <w:jc w:val="left"/>
              <w:rPr>
                <w:b/>
                <w:bCs/>
                <w:noProof w:val="0"/>
                <w:sz w:val="26"/>
                <w:szCs w:val="26"/>
                <w:rtl/>
              </w:rPr>
            </w:pPr>
            <w:sdt>
              <w:sdtPr>
                <w:rPr>
                  <w:rFonts w:ascii="Arial" w:hAnsi="Arial"/>
                  <w:b/>
                  <w:bCs/>
                  <w:noProof w:val="0"/>
                  <w:sz w:val="26"/>
                  <w:szCs w:val="26"/>
                  <w:rtl/>
                </w:rPr>
                <w:alias w:val="3151"/>
                <w:tag w:val="3151"/>
                <w:id w:val="1166218717"/>
                <w:placeholder>
                  <w:docPart w:val="982617B82D8D4059BAC8EFE10F14BC58"/>
                </w:placeholder>
                <w:text w:multiLine="1"/>
              </w:sdtPr>
              <w:sdtEndPr/>
              <w:sdtContent>
                <w:r w:rsidR="00102C7B">
                  <w:rPr>
                    <w:rFonts w:ascii="Arial" w:hAnsi="Arial" w:hint="cs"/>
                    <w:b/>
                    <w:bCs/>
                    <w:noProof w:val="0"/>
                    <w:sz w:val="26"/>
                    <w:szCs w:val="26"/>
                    <w:rtl/>
                  </w:rPr>
                  <w:t xml:space="preserve">פלוני </w:t>
                </w:r>
                <w:r w:rsidR="00F94A3C">
                  <w:rPr>
                    <w:rFonts w:ascii="Arial" w:hAnsi="Arial"/>
                    <w:b/>
                    <w:bCs/>
                    <w:noProof w:val="0"/>
                    <w:sz w:val="26"/>
                    <w:szCs w:val="26"/>
                    <w:rtl/>
                  </w:rPr>
                  <w:br/>
                  <w:t>באמצעות ב"כ עו"ד שמעון פרץ</w:t>
                </w:r>
              </w:sdtContent>
            </w:sdt>
          </w:p>
        </w:tc>
      </w:tr>
      <w:tr w:rsidR="00F94A3C" w:rsidTr="00AC0972">
        <w:trPr>
          <w:jc w:val="center"/>
        </w:trPr>
        <w:tc>
          <w:tcPr>
            <w:tcW w:w="6337" w:type="dxa"/>
            <w:gridSpan w:val="4"/>
          </w:tcPr>
          <w:p w:rsidR="00F94A3C" w:rsidRDefault="00F94A3C">
            <w:pPr>
              <w:suppressLineNumbers/>
              <w:rPr>
                <w:rFonts w:ascii="Arial" w:hAnsi="Arial"/>
                <w:b/>
                <w:bCs/>
                <w:noProof w:val="0"/>
                <w:sz w:val="26"/>
                <w:szCs w:val="26"/>
              </w:rPr>
            </w:pPr>
          </w:p>
          <w:p w:rsidR="00F94A3C" w:rsidRDefault="00F94A3C">
            <w:pPr>
              <w:suppressLineNumbers/>
              <w:jc w:val="center"/>
              <w:rPr>
                <w:rFonts w:ascii="Arial" w:hAnsi="Arial"/>
                <w:b/>
                <w:bCs/>
                <w:noProof w:val="0"/>
                <w:sz w:val="26"/>
                <w:szCs w:val="26"/>
                <w:rtl/>
              </w:rPr>
            </w:pPr>
          </w:p>
          <w:p w:rsidR="00F94A3C" w:rsidRDefault="00F94A3C">
            <w:pPr>
              <w:suppressLineNumbers/>
              <w:rPr>
                <w:rFonts w:ascii="Arial" w:hAnsi="Arial"/>
                <w:b/>
                <w:bCs/>
                <w:noProof w:val="0"/>
                <w:sz w:val="26"/>
                <w:szCs w:val="26"/>
                <w:rtl/>
              </w:rPr>
            </w:pPr>
          </w:p>
        </w:tc>
      </w:tr>
      <w:tr w:rsidR="00F94A3C" w:rsidTr="00AC0972">
        <w:trPr>
          <w:gridAfter w:val="1"/>
          <w:wAfter w:w="20" w:type="dxa"/>
          <w:jc w:val="center"/>
        </w:trPr>
        <w:tc>
          <w:tcPr>
            <w:tcW w:w="1008" w:type="dxa"/>
            <w:gridSpan w:val="2"/>
            <w:hideMark/>
          </w:tcPr>
          <w:p w:rsidR="00F94A3C" w:rsidRDefault="00E5416E" w:rsidP="00102C7B">
            <w:pPr>
              <w:suppressLineNumbers/>
              <w:jc w:val="left"/>
              <w:rPr>
                <w:rFonts w:ascii="Arial" w:hAnsi="Arial"/>
                <w:b/>
                <w:bCs/>
                <w:noProof w:val="0"/>
                <w:sz w:val="26"/>
                <w:szCs w:val="26"/>
              </w:rPr>
            </w:pPr>
            <w:sdt>
              <w:sdtPr>
                <w:rPr>
                  <w:rtl/>
                </w:rPr>
                <w:alias w:val="1184"/>
                <w:tag w:val="1184"/>
                <w:id w:val="-340621022"/>
                <w:text w:multiLine="1"/>
              </w:sdtPr>
              <w:sdtEndPr/>
              <w:sdtContent>
                <w:r w:rsidR="00F94A3C">
                  <w:rPr>
                    <w:rFonts w:ascii="Arial" w:hAnsi="Arial"/>
                    <w:b/>
                    <w:bCs/>
                    <w:noProof w:val="0"/>
                    <w:sz w:val="26"/>
                    <w:szCs w:val="26"/>
                    <w:rtl/>
                  </w:rPr>
                  <w:t>המשיבה</w:t>
                </w:r>
              </w:sdtContent>
            </w:sdt>
          </w:p>
        </w:tc>
        <w:tc>
          <w:tcPr>
            <w:tcW w:w="5309" w:type="dxa"/>
            <w:hideMark/>
          </w:tcPr>
          <w:p w:rsidR="00F94A3C" w:rsidRDefault="00E5416E" w:rsidP="00102C7B">
            <w:pPr>
              <w:suppressLineNumbers/>
              <w:jc w:val="left"/>
              <w:rPr>
                <w:rFonts w:ascii="Arial" w:hAnsi="Arial"/>
                <w:b/>
                <w:bCs/>
                <w:noProof w:val="0"/>
                <w:sz w:val="26"/>
                <w:szCs w:val="26"/>
              </w:rPr>
            </w:pPr>
            <w:sdt>
              <w:sdtPr>
                <w:rPr>
                  <w:rFonts w:ascii="Arial" w:hAnsi="Arial"/>
                  <w:b/>
                  <w:bCs/>
                  <w:noProof w:val="0"/>
                  <w:sz w:val="26"/>
                  <w:szCs w:val="26"/>
                  <w:rtl/>
                </w:rPr>
                <w:alias w:val="3152"/>
                <w:tag w:val="3152"/>
                <w:id w:val="-1346628691"/>
                <w:placeholder>
                  <w:docPart w:val="8EC01184AF944CBC8C9F52614FA4D139"/>
                </w:placeholder>
                <w:text w:multiLine="1"/>
              </w:sdtPr>
              <w:sdtEndPr/>
              <w:sdtContent>
                <w:r w:rsidR="00102C7B">
                  <w:rPr>
                    <w:rFonts w:ascii="Arial" w:hAnsi="Arial" w:hint="cs"/>
                    <w:b/>
                    <w:bCs/>
                    <w:noProof w:val="0"/>
                    <w:sz w:val="26"/>
                    <w:szCs w:val="26"/>
                    <w:rtl/>
                  </w:rPr>
                  <w:t xml:space="preserve">אלמונית </w:t>
                </w:r>
                <w:r w:rsidR="00F94A3C">
                  <w:rPr>
                    <w:rFonts w:ascii="Arial" w:hAnsi="Arial"/>
                    <w:b/>
                    <w:bCs/>
                    <w:noProof w:val="0"/>
                    <w:sz w:val="26"/>
                    <w:szCs w:val="26"/>
                    <w:rtl/>
                  </w:rPr>
                  <w:br/>
                  <w:t>באמצעות ב"כ עו"ד הדס אגמי</w:t>
                </w:r>
              </w:sdtContent>
            </w:sdt>
          </w:p>
        </w:tc>
      </w:tr>
      <w:tr w:rsidR="00F94A3C" w:rsidTr="00AC0972">
        <w:trPr>
          <w:jc w:val="center"/>
        </w:trPr>
        <w:tc>
          <w:tcPr>
            <w:tcW w:w="6337" w:type="dxa"/>
            <w:gridSpan w:val="4"/>
          </w:tcPr>
          <w:p w:rsidR="00F94A3C" w:rsidRDefault="00F94A3C">
            <w:pPr>
              <w:suppressLineNumbers/>
              <w:rPr>
                <w:rtl/>
              </w:rPr>
            </w:pP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F94A3C">
              <w:trPr>
                <w:jc w:val="center"/>
              </w:trPr>
              <w:tc>
                <w:tcPr>
                  <w:tcW w:w="3249" w:type="dxa"/>
                </w:tcPr>
                <w:p w:rsidR="00F94A3C" w:rsidRPr="00AC0972" w:rsidRDefault="00F94A3C" w:rsidP="00AC0972">
                  <w:pPr>
                    <w:suppressLineNumbers/>
                    <w:jc w:val="left"/>
                    <w:rPr>
                      <w:i/>
                      <w:iCs/>
                    </w:rPr>
                  </w:pPr>
                </w:p>
                <w:sdt>
                  <w:sdtPr>
                    <w:rPr>
                      <w:i/>
                      <w:iCs/>
                      <w:rtl/>
                    </w:rPr>
                    <w:alias w:val="1180"/>
                    <w:tag w:val="1180"/>
                    <w:id w:val="-644353707"/>
                    <w:showingPlcHdr/>
                    <w:text w:multiLine="1"/>
                  </w:sdtPr>
                  <w:sdtEndPr/>
                  <w:sdtContent>
                    <w:p w:rsidR="00F94A3C" w:rsidRDefault="00AC0972" w:rsidP="00AC0972">
                      <w:pPr>
                        <w:suppressLineNumbers/>
                        <w:jc w:val="left"/>
                        <w:rPr>
                          <w:rFonts w:ascii="Arial" w:hAnsi="Arial"/>
                          <w:b/>
                          <w:bCs/>
                          <w:noProof w:val="0"/>
                          <w:sz w:val="26"/>
                          <w:szCs w:val="26"/>
                          <w:rtl/>
                        </w:rPr>
                      </w:pPr>
                      <w:r>
                        <w:rPr>
                          <w:i/>
                          <w:iCs/>
                          <w:rtl/>
                        </w:rPr>
                        <w:t xml:space="preserve">     </w:t>
                      </w:r>
                    </w:p>
                  </w:sdtContent>
                </w:sdt>
              </w:tc>
              <w:tc>
                <w:tcPr>
                  <w:tcW w:w="5571" w:type="dxa"/>
                </w:tcPr>
                <w:p w:rsidR="00F94A3C" w:rsidRDefault="00F94A3C">
                  <w:pPr>
                    <w:suppressLineNumbers/>
                    <w:rPr>
                      <w:rtl/>
                    </w:rPr>
                  </w:pPr>
                </w:p>
                <w:p w:rsidR="00F94A3C" w:rsidRDefault="00E5416E" w:rsidP="00102C7B">
                  <w:pPr>
                    <w:suppressLineNumbers/>
                    <w:jc w:val="left"/>
                    <w:rPr>
                      <w:b/>
                      <w:bCs/>
                      <w:noProof w:val="0"/>
                      <w:sz w:val="26"/>
                      <w:szCs w:val="26"/>
                      <w:rtl/>
                    </w:rPr>
                  </w:pPr>
                  <w:sdt>
                    <w:sdtPr>
                      <w:rPr>
                        <w:rFonts w:ascii="Arial" w:hAnsi="Arial"/>
                        <w:b/>
                        <w:bCs/>
                        <w:noProof w:val="0"/>
                        <w:sz w:val="26"/>
                        <w:szCs w:val="26"/>
                        <w:rtl/>
                      </w:rPr>
                      <w:alias w:val="3151"/>
                      <w:tag w:val="3151"/>
                      <w:id w:val="-1424958473"/>
                      <w:placeholder>
                        <w:docPart w:val="F2999FBCE65444BFBB87EF581C626C8E"/>
                      </w:placeholder>
                      <w:text w:multiLine="1"/>
                    </w:sdtPr>
                    <w:sdtEndPr/>
                    <w:sdtContent>
                      <w:r w:rsidR="00F94A3C">
                        <w:rPr>
                          <w:rFonts w:ascii="Arial" w:hAnsi="Arial"/>
                          <w:b/>
                          <w:bCs/>
                          <w:noProof w:val="0"/>
                          <w:sz w:val="26"/>
                          <w:szCs w:val="26"/>
                          <w:rtl/>
                        </w:rPr>
                        <w:br/>
                      </w:r>
                    </w:sdtContent>
                  </w:sdt>
                </w:p>
              </w:tc>
            </w:tr>
          </w:tbl>
          <w:p w:rsidR="00F94A3C" w:rsidRPr="00AC0972" w:rsidRDefault="00AC0972" w:rsidP="00AC0972">
            <w:pPr>
              <w:suppressLineNumbers/>
              <w:jc w:val="left"/>
              <w:rPr>
                <w:sz w:val="26"/>
                <w:szCs w:val="26"/>
              </w:rPr>
            </w:pPr>
            <w:r w:rsidRPr="00AC0972">
              <w:rPr>
                <w:rFonts w:hint="cs"/>
                <w:b/>
                <w:bCs/>
                <w:sz w:val="26"/>
                <w:szCs w:val="26"/>
                <w:u w:val="single"/>
                <w:rtl/>
              </w:rPr>
              <w:t>בעניין הקטינים:</w:t>
            </w:r>
            <w:r>
              <w:rPr>
                <w:rFonts w:hint="cs"/>
                <w:b/>
                <w:bCs/>
                <w:sz w:val="26"/>
                <w:szCs w:val="26"/>
                <w:u w:val="single"/>
                <w:rtl/>
              </w:rPr>
              <w:t xml:space="preserve"> </w:t>
            </w:r>
            <w:r w:rsidRPr="00AC0972">
              <w:rPr>
                <w:rFonts w:hint="cs"/>
                <w:b/>
                <w:bCs/>
                <w:sz w:val="26"/>
                <w:szCs w:val="26"/>
                <w:rtl/>
              </w:rPr>
              <w:t xml:space="preserve">              ....    </w:t>
            </w:r>
          </w:p>
          <w:p w:rsidR="00F94A3C" w:rsidRDefault="00F94A3C">
            <w:pPr>
              <w:suppressLineNumbers/>
              <w:rPr>
                <w:rtl/>
              </w:rPr>
            </w:pPr>
          </w:p>
        </w:tc>
      </w:tr>
    </w:tbl>
    <w:p w:rsidR="00F94A3C" w:rsidRDefault="00F94A3C" w:rsidP="00F94A3C">
      <w:pPr>
        <w:suppressLineNumbers/>
        <w:rPr>
          <w:rtl/>
        </w:rPr>
      </w:pP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036"/>
      </w:tblGrid>
      <w:tr w:rsidR="00F94A3C" w:rsidTr="00F94A3C">
        <w:trPr>
          <w:jc w:val="center"/>
        </w:trPr>
        <w:tc>
          <w:tcPr>
            <w:tcW w:w="8820" w:type="dxa"/>
          </w:tcPr>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F94A3C">
              <w:trPr>
                <w:jc w:val="center"/>
              </w:trPr>
              <w:tc>
                <w:tcPr>
                  <w:tcW w:w="8820" w:type="dxa"/>
                </w:tcPr>
                <w:p w:rsidR="00F94A3C" w:rsidRDefault="00F94A3C">
                  <w:pPr>
                    <w:bidi w:val="0"/>
                    <w:jc w:val="center"/>
                    <w:rPr>
                      <w:rFonts w:ascii="Arial" w:hAnsi="Arial"/>
                      <w:b/>
                      <w:bCs/>
                      <w:noProof w:val="0"/>
                      <w:sz w:val="32"/>
                      <w:szCs w:val="32"/>
                      <w:u w:val="single"/>
                      <w:rtl/>
                    </w:rPr>
                  </w:pPr>
                  <w:r>
                    <w:rPr>
                      <w:rFonts w:ascii="Arial" w:hAnsi="Arial"/>
                      <w:b/>
                      <w:bCs/>
                      <w:noProof w:val="0"/>
                      <w:sz w:val="32"/>
                      <w:szCs w:val="32"/>
                      <w:u w:val="single"/>
                      <w:rtl/>
                    </w:rPr>
                    <w:t>החלטה</w:t>
                  </w:r>
                </w:p>
                <w:p w:rsidR="00F94A3C" w:rsidRDefault="00F94A3C">
                  <w:pPr>
                    <w:bidi w:val="0"/>
                    <w:jc w:val="center"/>
                    <w:rPr>
                      <w:rFonts w:ascii="Arial" w:hAnsi="Arial"/>
                      <w:b/>
                      <w:bCs/>
                      <w:noProof w:val="0"/>
                      <w:sz w:val="28"/>
                      <w:szCs w:val="28"/>
                      <w:u w:val="single"/>
                      <w:rtl/>
                    </w:rPr>
                  </w:pPr>
                </w:p>
              </w:tc>
            </w:tr>
          </w:tbl>
          <w:p w:rsidR="00F94A3C" w:rsidRDefault="00F94A3C">
            <w:pPr>
              <w:pStyle w:val="a3"/>
              <w:spacing w:line="360" w:lineRule="auto"/>
              <w:jc w:val="both"/>
              <w:rPr>
                <w:rFonts w:ascii="Arial" w:hAnsi="Arial"/>
                <w:noProof w:val="0"/>
              </w:rPr>
            </w:pPr>
            <w:r>
              <w:rPr>
                <w:rFonts w:ascii="Arial" w:hAnsi="Arial"/>
                <w:noProof w:val="0"/>
                <w:rtl/>
              </w:rPr>
              <w:t xml:space="preserve">בקשת רשות הערעור שלפניי מכוונת כנגד החלטת בית המשפט לענייני משפחה בבאר שבע (כב' השופט שי שמואל) שניתנה בתיק ישוב סכסוך (י"ס 6406-05-23) ביום 05.06.2023 בגדרה נדחתה  עתירת המבקש למתן צו מניעה שיאסור על המשיבה להעתיק את אזור מגורי הקטינים שבכותרת באופן חד צדדי.  </w:t>
            </w:r>
          </w:p>
          <w:p w:rsidR="00F94A3C" w:rsidRDefault="00F94A3C">
            <w:pPr>
              <w:ind w:left="360"/>
              <w:jc w:val="both"/>
              <w:rPr>
                <w:rFonts w:ascii="Arial" w:hAnsi="Arial"/>
                <w:noProof w:val="0"/>
              </w:rPr>
            </w:pPr>
          </w:p>
          <w:p w:rsidR="00F94A3C" w:rsidRDefault="00F94A3C">
            <w:pPr>
              <w:spacing w:after="160" w:line="360" w:lineRule="auto"/>
              <w:ind w:left="84" w:firstLine="636"/>
              <w:contextualSpacing/>
              <w:jc w:val="both"/>
              <w:rPr>
                <w:rFonts w:ascii="David" w:eastAsia="Calibri" w:hAnsi="David"/>
                <w:b/>
                <w:bCs/>
                <w:noProof w:val="0"/>
                <w:sz w:val="26"/>
                <w:szCs w:val="26"/>
                <w:u w:val="single"/>
              </w:rPr>
            </w:pPr>
            <w:r>
              <w:rPr>
                <w:rFonts w:ascii="David" w:eastAsia="Calibri" w:hAnsi="David"/>
                <w:b/>
                <w:bCs/>
                <w:noProof w:val="0"/>
                <w:sz w:val="26"/>
                <w:szCs w:val="26"/>
                <w:u w:val="single"/>
                <w:rtl/>
              </w:rPr>
              <w:t>רקע כללי והשתלשלות ההליך בבית המשפט קמא</w:t>
            </w:r>
          </w:p>
          <w:p w:rsidR="00F94A3C" w:rsidRDefault="00F94A3C" w:rsidP="006A07A0">
            <w:pPr>
              <w:pStyle w:val="a3"/>
              <w:numPr>
                <w:ilvl w:val="0"/>
                <w:numId w:val="1"/>
              </w:numPr>
              <w:spacing w:line="360" w:lineRule="auto"/>
              <w:jc w:val="both"/>
              <w:rPr>
                <w:rFonts w:ascii="Arial" w:hAnsi="Arial"/>
                <w:noProof w:val="0"/>
                <w:rtl/>
              </w:rPr>
            </w:pPr>
            <w:r>
              <w:rPr>
                <w:rFonts w:ascii="Arial" w:hAnsi="Arial"/>
                <w:noProof w:val="0"/>
                <w:rtl/>
              </w:rPr>
              <w:t xml:space="preserve">הצדדים הם בני זוג לשעבר, אשר התגרשו זה מזו, וכל הכרוך בגירושיהם הוסדר בהסכם שגובש ביניהם, אושר וקיבל תוקף של פסק דין בשנת 2014.  </w:t>
            </w:r>
          </w:p>
          <w:p w:rsidR="00F94A3C" w:rsidRDefault="00F94A3C">
            <w:pPr>
              <w:pStyle w:val="a3"/>
              <w:ind w:left="1080"/>
              <w:jc w:val="both"/>
              <w:rPr>
                <w:rFonts w:ascii="Arial" w:hAnsi="Arial"/>
                <w:noProof w:val="0"/>
              </w:rPr>
            </w:pPr>
          </w:p>
          <w:p w:rsidR="00F94A3C" w:rsidRDefault="00F94A3C" w:rsidP="006A07A0">
            <w:pPr>
              <w:pStyle w:val="a3"/>
              <w:numPr>
                <w:ilvl w:val="0"/>
                <w:numId w:val="1"/>
              </w:numPr>
              <w:spacing w:line="360" w:lineRule="auto"/>
              <w:jc w:val="both"/>
              <w:rPr>
                <w:rFonts w:ascii="Arial" w:hAnsi="Arial"/>
                <w:noProof w:val="0"/>
              </w:rPr>
            </w:pPr>
            <w:r>
              <w:rPr>
                <w:rFonts w:ascii="Arial" w:hAnsi="Arial"/>
                <w:noProof w:val="0"/>
                <w:rtl/>
              </w:rPr>
              <w:t xml:space="preserve">לצדדים שני ילדים משותפים, נער ונערה בני 17 ו-15 שנים בקירוב, הם הקטינים שבכותרת. </w:t>
            </w:r>
          </w:p>
          <w:p w:rsidR="00F94A3C" w:rsidRDefault="00F94A3C">
            <w:pPr>
              <w:pStyle w:val="a3"/>
              <w:rPr>
                <w:rFonts w:ascii="Arial" w:hAnsi="Arial"/>
                <w:noProof w:val="0"/>
              </w:rPr>
            </w:pPr>
          </w:p>
          <w:p w:rsidR="00F94A3C" w:rsidRDefault="00F94A3C" w:rsidP="006A07A0">
            <w:pPr>
              <w:pStyle w:val="a3"/>
              <w:numPr>
                <w:ilvl w:val="0"/>
                <w:numId w:val="1"/>
              </w:numPr>
              <w:spacing w:line="360" w:lineRule="auto"/>
              <w:jc w:val="both"/>
              <w:rPr>
                <w:rFonts w:ascii="Arial" w:hAnsi="Arial"/>
                <w:noProof w:val="0"/>
                <w:rtl/>
              </w:rPr>
            </w:pPr>
            <w:r>
              <w:rPr>
                <w:rFonts w:ascii="Arial" w:hAnsi="Arial"/>
                <w:noProof w:val="0"/>
                <w:rtl/>
              </w:rPr>
              <w:t xml:space="preserve">בפסק הדין שניתן, כאמור, בהסכמה, נקבעה אחריות הורית משותפת של הצדדים ביחס לקטינים וחלוקה שוויונית של זמני השהות שלהם עמם. </w:t>
            </w:r>
          </w:p>
          <w:p w:rsidR="00F94A3C" w:rsidRDefault="00F94A3C">
            <w:pPr>
              <w:jc w:val="both"/>
              <w:rPr>
                <w:rFonts w:ascii="Arial" w:hAnsi="Arial"/>
                <w:noProof w:val="0"/>
              </w:rPr>
            </w:pPr>
          </w:p>
          <w:p w:rsidR="00F94A3C" w:rsidRDefault="00F94A3C" w:rsidP="006A07A0">
            <w:pPr>
              <w:pStyle w:val="a3"/>
              <w:numPr>
                <w:ilvl w:val="0"/>
                <w:numId w:val="1"/>
              </w:numPr>
              <w:spacing w:line="360" w:lineRule="auto"/>
              <w:jc w:val="both"/>
              <w:rPr>
                <w:rFonts w:ascii="Arial" w:hAnsi="Arial"/>
                <w:noProof w:val="0"/>
              </w:rPr>
            </w:pPr>
            <w:r>
              <w:rPr>
                <w:rFonts w:ascii="Arial" w:hAnsi="Arial"/>
                <w:noProof w:val="0"/>
                <w:rtl/>
              </w:rPr>
              <w:t>מעיון באשר מונח לפניי עולה, כי לאחר הגירושין התגוררו הצדדים בישובים סמוכים יחסית, אם כי לאורך השנים היו שינויים כאלה ואחרים במקומות המגורים של כל אחד מהם.</w:t>
            </w:r>
          </w:p>
          <w:p w:rsidR="00102C7B" w:rsidRPr="00102C7B" w:rsidRDefault="00102C7B" w:rsidP="00102C7B">
            <w:pPr>
              <w:pStyle w:val="a3"/>
              <w:rPr>
                <w:rFonts w:ascii="Arial" w:hAnsi="Arial"/>
                <w:noProof w:val="0"/>
                <w:rtl/>
              </w:rPr>
            </w:pPr>
          </w:p>
          <w:p w:rsidR="00F94A3C" w:rsidRDefault="00F94A3C" w:rsidP="006A07A0">
            <w:pPr>
              <w:pStyle w:val="a3"/>
              <w:numPr>
                <w:ilvl w:val="0"/>
                <w:numId w:val="1"/>
              </w:numPr>
              <w:spacing w:line="360" w:lineRule="auto"/>
              <w:jc w:val="both"/>
              <w:rPr>
                <w:rFonts w:ascii="Arial" w:hAnsi="Arial"/>
                <w:noProof w:val="0"/>
                <w:rtl/>
              </w:rPr>
            </w:pPr>
            <w:r>
              <w:rPr>
                <w:rFonts w:ascii="Arial" w:hAnsi="Arial"/>
                <w:noProof w:val="0"/>
                <w:rtl/>
              </w:rPr>
              <w:t>ביום 03.05.2023 פנה המבקש לבית המשפט קמא, במסגרת הליך ליישוב סכסוך בו נקט,  בבקשה שהוכתרה כבהולה ובה עתר למתן צו מניעה שיאסור על המשיבה להעתיק אזור מגורי הקטינים באופן חד צדדי.</w:t>
            </w:r>
          </w:p>
          <w:p w:rsidR="00F94A3C" w:rsidRDefault="00F94A3C">
            <w:pPr>
              <w:pStyle w:val="a3"/>
              <w:rPr>
                <w:rFonts w:ascii="Arial" w:hAnsi="Arial"/>
                <w:noProof w:val="0"/>
              </w:rPr>
            </w:pPr>
          </w:p>
          <w:p w:rsidR="00F94A3C" w:rsidRDefault="00F94A3C" w:rsidP="00102C7B">
            <w:pPr>
              <w:pStyle w:val="a3"/>
              <w:numPr>
                <w:ilvl w:val="0"/>
                <w:numId w:val="1"/>
              </w:numPr>
              <w:spacing w:line="360" w:lineRule="auto"/>
              <w:jc w:val="both"/>
              <w:rPr>
                <w:rFonts w:ascii="Arial" w:hAnsi="Arial"/>
                <w:noProof w:val="0"/>
                <w:rtl/>
              </w:rPr>
            </w:pPr>
            <w:r>
              <w:rPr>
                <w:rFonts w:ascii="Arial" w:hAnsi="Arial"/>
                <w:noProof w:val="0"/>
                <w:rtl/>
              </w:rPr>
              <w:t xml:space="preserve">בבקשה נטען על ידו, בין היתר, כי נכון למועד הגשתה מתגוררים הצדדים בתחום השיפוט של המועצה האזורית </w:t>
            </w:r>
            <w:r w:rsidR="00102C7B">
              <w:rPr>
                <w:rFonts w:ascii="Arial" w:hAnsi="Arial" w:hint="cs"/>
                <w:noProof w:val="0"/>
                <w:rtl/>
              </w:rPr>
              <w:t>...</w:t>
            </w:r>
            <w:r>
              <w:rPr>
                <w:rFonts w:ascii="Arial" w:hAnsi="Arial"/>
                <w:noProof w:val="0"/>
                <w:rtl/>
              </w:rPr>
              <w:t xml:space="preserve"> – הוא במושב </w:t>
            </w:r>
            <w:r w:rsidR="00102C7B">
              <w:rPr>
                <w:rFonts w:ascii="Arial" w:hAnsi="Arial" w:hint="cs"/>
                <w:noProof w:val="0"/>
                <w:rtl/>
              </w:rPr>
              <w:t>...</w:t>
            </w:r>
            <w:r>
              <w:rPr>
                <w:rFonts w:ascii="Arial" w:hAnsi="Arial"/>
                <w:noProof w:val="0"/>
                <w:rtl/>
              </w:rPr>
              <w:t xml:space="preserve"> ואילו המשיבה במושב </w:t>
            </w:r>
            <w:r w:rsidR="00102C7B">
              <w:rPr>
                <w:rFonts w:ascii="Arial" w:hAnsi="Arial" w:hint="cs"/>
                <w:noProof w:val="0"/>
                <w:rtl/>
              </w:rPr>
              <w:t>...</w:t>
            </w:r>
            <w:r>
              <w:rPr>
                <w:rFonts w:ascii="Arial" w:hAnsi="Arial"/>
                <w:noProof w:val="0"/>
                <w:rtl/>
              </w:rPr>
              <w:t xml:space="preserve">, וילדיהם הקטינים לומדים במוסדות חינוך השייכים למועצה האזורית. </w:t>
            </w:r>
          </w:p>
          <w:p w:rsidR="00F94A3C" w:rsidRDefault="00F94A3C">
            <w:pPr>
              <w:pStyle w:val="a3"/>
              <w:spacing w:line="360" w:lineRule="auto"/>
              <w:ind w:left="1080"/>
              <w:jc w:val="both"/>
              <w:rPr>
                <w:rFonts w:ascii="Arial" w:hAnsi="Arial"/>
                <w:noProof w:val="0"/>
              </w:rPr>
            </w:pPr>
          </w:p>
          <w:p w:rsidR="00F94A3C" w:rsidRDefault="00F94A3C">
            <w:pPr>
              <w:pStyle w:val="a3"/>
              <w:spacing w:line="360" w:lineRule="auto"/>
              <w:ind w:left="1080"/>
              <w:jc w:val="both"/>
              <w:rPr>
                <w:rFonts w:ascii="Arial" w:hAnsi="Arial"/>
                <w:noProof w:val="0"/>
                <w:rtl/>
              </w:rPr>
            </w:pPr>
            <w:r>
              <w:rPr>
                <w:rFonts w:ascii="Arial" w:hAnsi="Arial"/>
                <w:noProof w:val="0"/>
                <w:rtl/>
              </w:rPr>
              <w:t xml:space="preserve">עוד נטען על ידו, כי נודע לו שהמשיבה מתכוונת להעתיק מקום מגוריה ומגורי הקטינים למקום לא ידוע, בהיחבא ובהסתר, והוא חושש כי בעתיד ישונה גם מקום הלימודים של  הקטינים. </w:t>
            </w:r>
          </w:p>
          <w:p w:rsidR="00F94A3C" w:rsidRDefault="00F94A3C">
            <w:pPr>
              <w:pStyle w:val="a3"/>
              <w:rPr>
                <w:rFonts w:ascii="Arial" w:hAnsi="Arial"/>
                <w:noProof w:val="0"/>
              </w:rPr>
            </w:pPr>
          </w:p>
          <w:p w:rsidR="00F94A3C" w:rsidRDefault="00F94A3C" w:rsidP="006A07A0">
            <w:pPr>
              <w:pStyle w:val="a3"/>
              <w:numPr>
                <w:ilvl w:val="0"/>
                <w:numId w:val="1"/>
              </w:numPr>
              <w:spacing w:line="360" w:lineRule="auto"/>
              <w:jc w:val="both"/>
              <w:rPr>
                <w:rFonts w:ascii="Arial" w:hAnsi="Arial"/>
                <w:noProof w:val="0"/>
                <w:rtl/>
              </w:rPr>
            </w:pPr>
            <w:r>
              <w:rPr>
                <w:rFonts w:ascii="Arial" w:hAnsi="Arial"/>
                <w:noProof w:val="0"/>
                <w:rtl/>
              </w:rPr>
              <w:t xml:space="preserve">לדידו, השינוי החד צדדי במקום מגורי הקטינים ובמסגרות החינוך שלהם עלול לפגוע בקשר שלו עמם ולשבשו, ובהתאם להוראות הדין, בהעדר הסכמה בין ההורים הוא טעון אישור של בית המשפט. </w:t>
            </w:r>
          </w:p>
          <w:p w:rsidR="00F94A3C" w:rsidRDefault="00F94A3C">
            <w:pPr>
              <w:pStyle w:val="a3"/>
              <w:spacing w:line="360" w:lineRule="auto"/>
              <w:ind w:left="1080"/>
              <w:jc w:val="both"/>
              <w:rPr>
                <w:rFonts w:ascii="Arial" w:hAnsi="Arial"/>
                <w:noProof w:val="0"/>
              </w:rPr>
            </w:pPr>
            <w:r>
              <w:rPr>
                <w:rFonts w:ascii="Arial" w:hAnsi="Arial"/>
                <w:noProof w:val="0"/>
                <w:rtl/>
              </w:rPr>
              <w:t xml:space="preserve"> </w:t>
            </w:r>
          </w:p>
          <w:p w:rsidR="00F94A3C" w:rsidRDefault="00F94A3C" w:rsidP="006A07A0">
            <w:pPr>
              <w:pStyle w:val="a3"/>
              <w:numPr>
                <w:ilvl w:val="0"/>
                <w:numId w:val="1"/>
              </w:numPr>
              <w:spacing w:line="360" w:lineRule="auto"/>
              <w:jc w:val="both"/>
              <w:rPr>
                <w:rFonts w:ascii="Arial" w:hAnsi="Arial"/>
                <w:noProof w:val="0"/>
                <w:rtl/>
              </w:rPr>
            </w:pPr>
            <w:r>
              <w:rPr>
                <w:rFonts w:ascii="Arial" w:hAnsi="Arial"/>
                <w:noProof w:val="0"/>
                <w:rtl/>
              </w:rPr>
              <w:t xml:space="preserve">בו ביום ניתנה החלטה על פיה נדרשה המשיבה להגיב לבקשה, תוך מתן צו ארעי האוסר עליה לבצע שינוי במקום מגורי הקטינים ובמוסדות החינוך שהם משולבים בהם. </w:t>
            </w:r>
          </w:p>
          <w:p w:rsidR="00F94A3C" w:rsidRDefault="00F94A3C">
            <w:pPr>
              <w:pStyle w:val="a3"/>
              <w:rPr>
                <w:rFonts w:ascii="Arial" w:hAnsi="Arial"/>
                <w:noProof w:val="0"/>
              </w:rPr>
            </w:pPr>
          </w:p>
          <w:p w:rsidR="00F94A3C" w:rsidRDefault="00F94A3C" w:rsidP="00102C7B">
            <w:pPr>
              <w:pStyle w:val="a3"/>
              <w:numPr>
                <w:ilvl w:val="0"/>
                <w:numId w:val="1"/>
              </w:numPr>
              <w:spacing w:line="360" w:lineRule="auto"/>
              <w:jc w:val="both"/>
              <w:rPr>
                <w:rFonts w:ascii="Arial" w:hAnsi="Arial"/>
                <w:noProof w:val="0"/>
                <w:rtl/>
              </w:rPr>
            </w:pPr>
            <w:r>
              <w:rPr>
                <w:rFonts w:ascii="Arial" w:hAnsi="Arial"/>
                <w:noProof w:val="0"/>
                <w:rtl/>
              </w:rPr>
              <w:t xml:space="preserve">ביום 07.05.2023 הגיש המבקש בקשה נוספת שהוכתרה כבהולה במסגרתה עתר למתן החלטה המורה למשיבה להשיב הקטינים למקום המגורים שלהם ערב פתיחת ההליך במושב </w:t>
            </w:r>
            <w:r w:rsidR="00102C7B">
              <w:rPr>
                <w:rFonts w:ascii="Arial" w:hAnsi="Arial" w:hint="cs"/>
                <w:noProof w:val="0"/>
                <w:rtl/>
              </w:rPr>
              <w:t>...</w:t>
            </w:r>
            <w:r>
              <w:rPr>
                <w:rFonts w:ascii="Arial" w:hAnsi="Arial"/>
                <w:noProof w:val="0"/>
                <w:rtl/>
              </w:rPr>
              <w:t xml:space="preserve">, ובו ביום ניתנה החלטה בגדרה נקבע, כי ככל שהמשיבה פעלה בניגוד להחלטה מיום 03.05.2023, כי אז עליה להשיב הקטינים לאלתר למקום המגורים הקודם שלהם במושב </w:t>
            </w:r>
            <w:r w:rsidR="00102C7B">
              <w:rPr>
                <w:rFonts w:ascii="Arial" w:hAnsi="Arial" w:hint="cs"/>
                <w:noProof w:val="0"/>
                <w:rtl/>
              </w:rPr>
              <w:t>...</w:t>
            </w:r>
            <w:r>
              <w:rPr>
                <w:rFonts w:ascii="Arial" w:hAnsi="Arial"/>
                <w:noProof w:val="0"/>
                <w:rtl/>
              </w:rPr>
              <w:t>.</w:t>
            </w:r>
          </w:p>
          <w:p w:rsidR="00F94A3C" w:rsidRDefault="00F94A3C">
            <w:pPr>
              <w:pStyle w:val="a3"/>
              <w:rPr>
                <w:rFonts w:ascii="Arial" w:hAnsi="Arial"/>
                <w:noProof w:val="0"/>
                <w:rtl/>
              </w:rPr>
            </w:pPr>
          </w:p>
          <w:p w:rsidR="00F94A3C" w:rsidRDefault="00F94A3C" w:rsidP="00102C7B">
            <w:pPr>
              <w:pStyle w:val="a3"/>
              <w:numPr>
                <w:ilvl w:val="0"/>
                <w:numId w:val="1"/>
              </w:numPr>
              <w:spacing w:line="360" w:lineRule="auto"/>
              <w:jc w:val="both"/>
              <w:rPr>
                <w:rFonts w:ascii="Arial" w:hAnsi="Arial"/>
                <w:noProof w:val="0"/>
                <w:rtl/>
              </w:rPr>
            </w:pPr>
            <w:r>
              <w:rPr>
                <w:rFonts w:ascii="Arial" w:hAnsi="Arial"/>
                <w:noProof w:val="0"/>
                <w:rtl/>
              </w:rPr>
              <w:t xml:space="preserve">ביום 09.05.2023 הוגשה תגובת המשיבה במסגרתה נטען, בין היתר, כי עתירת המבקש לצו המניעה  נגועה בחוסר תום לב, היות שהוא ידע משך זמן רב אודות המעבר הצפוי שלה עם הקטינים ממושב </w:t>
            </w:r>
            <w:r w:rsidR="00102C7B">
              <w:rPr>
                <w:rFonts w:ascii="Arial" w:hAnsi="Arial" w:hint="cs"/>
                <w:noProof w:val="0"/>
                <w:rtl/>
              </w:rPr>
              <w:t>...</w:t>
            </w:r>
            <w:r>
              <w:rPr>
                <w:rFonts w:ascii="Arial" w:hAnsi="Arial"/>
                <w:noProof w:val="0"/>
                <w:rtl/>
              </w:rPr>
              <w:t xml:space="preserve"> לעיר </w:t>
            </w:r>
            <w:r w:rsidR="00102C7B">
              <w:rPr>
                <w:rFonts w:ascii="Arial" w:hAnsi="Arial" w:hint="cs"/>
                <w:noProof w:val="0"/>
                <w:rtl/>
              </w:rPr>
              <w:t>...</w:t>
            </w:r>
            <w:r>
              <w:rPr>
                <w:rFonts w:ascii="Arial" w:hAnsi="Arial"/>
                <w:noProof w:val="0"/>
                <w:rtl/>
              </w:rPr>
              <w:t xml:space="preserve">. לטענתה, בית המגורים במושב </w:t>
            </w:r>
            <w:r w:rsidR="00102C7B">
              <w:rPr>
                <w:rFonts w:ascii="Arial" w:hAnsi="Arial" w:hint="cs"/>
                <w:noProof w:val="0"/>
                <w:rtl/>
              </w:rPr>
              <w:t>...</w:t>
            </w:r>
            <w:r>
              <w:rPr>
                <w:rFonts w:ascii="Arial" w:hAnsi="Arial"/>
                <w:noProof w:val="0"/>
                <w:rtl/>
              </w:rPr>
              <w:t xml:space="preserve"> נמכר על ידה כבר בחודש ינואר השנה ובסמוך לאחר מכן היא רכשה דירה בעיר </w:t>
            </w:r>
            <w:r w:rsidR="00102C7B">
              <w:rPr>
                <w:rFonts w:ascii="Arial" w:hAnsi="Arial" w:hint="cs"/>
                <w:noProof w:val="0"/>
                <w:rtl/>
              </w:rPr>
              <w:t>...</w:t>
            </w:r>
            <w:r>
              <w:rPr>
                <w:rFonts w:ascii="Arial" w:hAnsi="Arial"/>
                <w:noProof w:val="0"/>
                <w:rtl/>
              </w:rPr>
              <w:t xml:space="preserve">, והמעבר המתוכנן אליה נקבע לשלהי חודש אפריל אך בפועל נדחתה לראשית חודש מאי. </w:t>
            </w:r>
          </w:p>
          <w:p w:rsidR="00F94A3C" w:rsidRDefault="00F94A3C">
            <w:pPr>
              <w:pStyle w:val="a3"/>
              <w:rPr>
                <w:rFonts w:ascii="Arial" w:hAnsi="Arial"/>
                <w:noProof w:val="0"/>
              </w:rPr>
            </w:pPr>
          </w:p>
          <w:p w:rsidR="00F94A3C" w:rsidRDefault="00F94A3C">
            <w:pPr>
              <w:pStyle w:val="a3"/>
              <w:spacing w:line="360" w:lineRule="auto"/>
              <w:ind w:left="1080"/>
              <w:jc w:val="both"/>
              <w:rPr>
                <w:rFonts w:ascii="Arial" w:hAnsi="Arial"/>
                <w:noProof w:val="0"/>
                <w:rtl/>
              </w:rPr>
            </w:pPr>
            <w:r>
              <w:rPr>
                <w:rFonts w:ascii="Arial" w:hAnsi="Arial"/>
                <w:noProof w:val="0"/>
                <w:rtl/>
              </w:rPr>
              <w:t xml:space="preserve">לטענתה, הפרטים הללו היו ידועים למבקש, ובכל זאת בחר להגיש הבקשה לצו המניעה במועד בו הליך המעבר לדירה החדשה היה בעיצומו, ולכן היא נגועה בחוסר תום לב קיצוני. המשיבה הבהירה, כי המעבר לא יגרור שינוי במסגרות החינוך  הקטינים, וכי בימי השהות שלהם עמה, תהא אחראית היא להגעתם למסגרות החינוך ולאיסופם מהם. </w:t>
            </w:r>
          </w:p>
          <w:p w:rsidR="00F94A3C" w:rsidRDefault="00F94A3C">
            <w:pPr>
              <w:pStyle w:val="a3"/>
              <w:rPr>
                <w:rFonts w:ascii="Arial" w:hAnsi="Arial"/>
                <w:noProof w:val="0"/>
              </w:rPr>
            </w:pPr>
          </w:p>
          <w:p w:rsidR="00F94A3C" w:rsidRDefault="00F94A3C" w:rsidP="00102C7B">
            <w:pPr>
              <w:pStyle w:val="a3"/>
              <w:numPr>
                <w:ilvl w:val="0"/>
                <w:numId w:val="1"/>
              </w:numPr>
              <w:spacing w:line="360" w:lineRule="auto"/>
              <w:jc w:val="both"/>
              <w:rPr>
                <w:rFonts w:ascii="Arial" w:hAnsi="Arial"/>
                <w:noProof w:val="0"/>
                <w:rtl/>
              </w:rPr>
            </w:pPr>
            <w:r>
              <w:rPr>
                <w:rFonts w:ascii="Arial" w:hAnsi="Arial"/>
                <w:noProof w:val="0"/>
                <w:rtl/>
              </w:rPr>
              <w:t xml:space="preserve">המשיבה העלתה בפני בית המשפט קמא טענות בדבר הפרת ההסכם ע"י המבקש וציינה גם, כי אין זו הפעם הראשונה מאז הגירושין שהיא מעתיקה מקום מגוריה עם הקטינים, וכי המבקש הגיב באדישות לשינויים אלה בעבר. לטענתה, מרכז חייו של המבקש הוא בעיר </w:t>
            </w:r>
            <w:r w:rsidR="00102C7B">
              <w:rPr>
                <w:rFonts w:ascii="Arial" w:hAnsi="Arial" w:hint="cs"/>
                <w:noProof w:val="0"/>
                <w:rtl/>
              </w:rPr>
              <w:t>...</w:t>
            </w:r>
            <w:r>
              <w:rPr>
                <w:rFonts w:ascii="Arial" w:hAnsi="Arial"/>
                <w:noProof w:val="0"/>
                <w:rtl/>
              </w:rPr>
              <w:t xml:space="preserve">, </w:t>
            </w:r>
            <w:r>
              <w:rPr>
                <w:rFonts w:ascii="Arial" w:hAnsi="Arial"/>
                <w:noProof w:val="0"/>
                <w:rtl/>
              </w:rPr>
              <w:lastRenderedPageBreak/>
              <w:t xml:space="preserve">שם הוא עובד ואף מתגורר עם בת זוגו החדשה ולשם נאלצים הקטינים, בעל כורחם, לנסוע בסופי השבוע בהם הם שוהים עמו.  </w:t>
            </w:r>
          </w:p>
          <w:p w:rsidR="00F94A3C" w:rsidRDefault="00F94A3C">
            <w:pPr>
              <w:pStyle w:val="a3"/>
              <w:rPr>
                <w:rFonts w:ascii="Arial" w:hAnsi="Arial"/>
                <w:noProof w:val="0"/>
              </w:rPr>
            </w:pPr>
          </w:p>
          <w:p w:rsidR="00F94A3C" w:rsidRDefault="00F94A3C" w:rsidP="006A07A0">
            <w:pPr>
              <w:pStyle w:val="a3"/>
              <w:numPr>
                <w:ilvl w:val="0"/>
                <w:numId w:val="1"/>
              </w:numPr>
              <w:spacing w:line="360" w:lineRule="auto"/>
              <w:jc w:val="both"/>
              <w:rPr>
                <w:rFonts w:ascii="Arial" w:hAnsi="Arial"/>
                <w:noProof w:val="0"/>
                <w:rtl/>
              </w:rPr>
            </w:pPr>
            <w:r>
              <w:rPr>
                <w:rFonts w:ascii="Arial" w:hAnsi="Arial"/>
                <w:noProof w:val="0"/>
                <w:rtl/>
              </w:rPr>
              <w:t>ביום 17.05.2023 הוגשה תשובת המבקש במסגרתה הכחיש טענות המשיבה וטען כי היא מפרה צווים שיפוטיים ולכן עתר לאכיפתם. בו ביום ניתנה החלטה על פיה הורה בית המשפט קמא על השהיית ההחלטות מיום 03.05.2023 ומיום 07.05.2023 נוכח קוטביות טענותיהם העובדתיות של הצדדים.</w:t>
            </w:r>
          </w:p>
          <w:p w:rsidR="00F94A3C" w:rsidRDefault="00F94A3C">
            <w:pPr>
              <w:pStyle w:val="a3"/>
              <w:rPr>
                <w:rFonts w:ascii="Arial" w:hAnsi="Arial"/>
                <w:noProof w:val="0"/>
              </w:rPr>
            </w:pPr>
          </w:p>
          <w:p w:rsidR="00F94A3C" w:rsidRDefault="00F94A3C">
            <w:pPr>
              <w:pStyle w:val="a3"/>
              <w:spacing w:line="360" w:lineRule="auto"/>
              <w:ind w:left="1080"/>
              <w:jc w:val="both"/>
              <w:rPr>
                <w:rFonts w:ascii="Arial" w:hAnsi="Arial"/>
                <w:noProof w:val="0"/>
                <w:rtl/>
              </w:rPr>
            </w:pPr>
            <w:r>
              <w:rPr>
                <w:rFonts w:ascii="Arial" w:hAnsi="Arial"/>
                <w:noProof w:val="0"/>
                <w:rtl/>
              </w:rPr>
              <w:t xml:space="preserve">על רקע הפערים האמורים בגרסות הצדדים, נקבע דיון בבקשה לפניו. </w:t>
            </w:r>
          </w:p>
          <w:p w:rsidR="00F94A3C" w:rsidRDefault="00F94A3C">
            <w:pPr>
              <w:pStyle w:val="a3"/>
              <w:rPr>
                <w:rFonts w:ascii="Arial" w:hAnsi="Arial"/>
                <w:noProof w:val="0"/>
              </w:rPr>
            </w:pPr>
          </w:p>
          <w:p w:rsidR="00F94A3C" w:rsidRDefault="00F94A3C" w:rsidP="006A07A0">
            <w:pPr>
              <w:pStyle w:val="a3"/>
              <w:numPr>
                <w:ilvl w:val="0"/>
                <w:numId w:val="1"/>
              </w:numPr>
              <w:spacing w:line="360" w:lineRule="auto"/>
              <w:jc w:val="both"/>
              <w:rPr>
                <w:rFonts w:ascii="Arial" w:hAnsi="Arial"/>
                <w:noProof w:val="0"/>
                <w:rtl/>
              </w:rPr>
            </w:pPr>
            <w:r>
              <w:rPr>
                <w:rFonts w:ascii="Arial" w:hAnsi="Arial"/>
                <w:noProof w:val="0"/>
                <w:rtl/>
              </w:rPr>
              <w:t>ביום 30.05.2023 התקיים דיון בפני בית המשפט קמא, במהלכו נחקרו הצדדים ע"י בית המשפט, ובהמשך נעשה על ידו ניסיון להביאם לפשרה, אך הדבר לא עלה בידו.</w:t>
            </w:r>
          </w:p>
          <w:p w:rsidR="00F94A3C" w:rsidRDefault="00F94A3C">
            <w:pPr>
              <w:pStyle w:val="a3"/>
              <w:rPr>
                <w:rFonts w:ascii="Arial" w:hAnsi="Arial"/>
                <w:noProof w:val="0"/>
                <w:rtl/>
              </w:rPr>
            </w:pPr>
          </w:p>
          <w:p w:rsidR="00F94A3C" w:rsidRDefault="00F94A3C" w:rsidP="006A07A0">
            <w:pPr>
              <w:pStyle w:val="a3"/>
              <w:numPr>
                <w:ilvl w:val="0"/>
                <w:numId w:val="1"/>
              </w:numPr>
              <w:spacing w:line="360" w:lineRule="auto"/>
              <w:jc w:val="both"/>
              <w:rPr>
                <w:rFonts w:ascii="Arial" w:hAnsi="Arial"/>
                <w:noProof w:val="0"/>
                <w:rtl/>
              </w:rPr>
            </w:pPr>
            <w:r>
              <w:rPr>
                <w:rFonts w:ascii="Arial" w:hAnsi="Arial"/>
                <w:noProof w:val="0"/>
                <w:rtl/>
              </w:rPr>
              <w:t xml:space="preserve">הצדדים הסכימו כי תינתן החלטה על יסוד החומר המונח בפני בית המשפט, ומשכך ניתנה על ידו ביום 05.06.2023 ההחלטה נושא הבקשה שלפנינו בגדרה נדחתה עתירת המבקש לצו מניעה, תוך שנקבע, בין היתר לאמור: </w:t>
            </w:r>
          </w:p>
          <w:p w:rsidR="00F94A3C" w:rsidRDefault="00F94A3C" w:rsidP="00102C7B">
            <w:pPr>
              <w:pStyle w:val="a3"/>
              <w:spacing w:line="360" w:lineRule="auto"/>
              <w:ind w:left="1080"/>
              <w:jc w:val="both"/>
              <w:rPr>
                <w:rFonts w:ascii="Arial" w:hAnsi="Arial"/>
                <w:noProof w:val="0"/>
              </w:rPr>
            </w:pPr>
            <w:r>
              <w:rPr>
                <w:rFonts w:ascii="Arial" w:hAnsi="Arial"/>
                <w:b/>
                <w:bCs/>
                <w:noProof w:val="0"/>
                <w:rtl/>
              </w:rPr>
              <w:t xml:space="preserve">"... המבקש לא עמד בתנאים הנדרשים למתן צו מניעה, החל במאזן הנוחות והנזק העלול להיגרם לו מאי מתן צו מניעה כאמור. דווקא כאן ראיתי להדגיש ולציין כי בהינתן שהמשיבה רכשה דירה בעיר </w:t>
            </w:r>
            <w:r w:rsidR="00102C7B">
              <w:rPr>
                <w:rFonts w:ascii="Arial" w:hAnsi="Arial" w:hint="cs"/>
                <w:b/>
                <w:bCs/>
                <w:noProof w:val="0"/>
                <w:rtl/>
              </w:rPr>
              <w:t>..</w:t>
            </w:r>
            <w:r>
              <w:rPr>
                <w:rFonts w:ascii="Arial" w:hAnsi="Arial"/>
                <w:b/>
                <w:bCs/>
                <w:noProof w:val="0"/>
                <w:rtl/>
              </w:rPr>
              <w:t xml:space="preserve"> ואין ברשותה מקום מגורים ביישוב </w:t>
            </w:r>
            <w:r w:rsidR="00102C7B">
              <w:rPr>
                <w:rFonts w:ascii="Arial" w:hAnsi="Arial" w:hint="cs"/>
                <w:b/>
                <w:bCs/>
                <w:noProof w:val="0"/>
                <w:rtl/>
              </w:rPr>
              <w:t>...</w:t>
            </w:r>
            <w:r>
              <w:rPr>
                <w:rFonts w:ascii="Arial" w:hAnsi="Arial"/>
                <w:b/>
                <w:bCs/>
                <w:noProof w:val="0"/>
                <w:rtl/>
              </w:rPr>
              <w:t xml:space="preserve"> הרי שבמתן צו המניעה הנזק שייגרם למשיבה גדול מזה העלול להיגרם למבקש אם בכלל. לא שוכנעתי כי במעבר מגורי הקטינים לעיר </w:t>
            </w:r>
            <w:r w:rsidR="00102C7B">
              <w:rPr>
                <w:rFonts w:ascii="Arial" w:hAnsi="Arial" w:hint="cs"/>
                <w:b/>
                <w:bCs/>
                <w:noProof w:val="0"/>
                <w:rtl/>
              </w:rPr>
              <w:t>...</w:t>
            </w:r>
            <w:r>
              <w:rPr>
                <w:rFonts w:ascii="Arial" w:hAnsi="Arial"/>
                <w:b/>
                <w:bCs/>
                <w:noProof w:val="0"/>
                <w:rtl/>
              </w:rPr>
              <w:t xml:space="preserve"> אין בו כדי להוות פגיעה בקטינים </w:t>
            </w:r>
            <w:r>
              <w:rPr>
                <w:rFonts w:ascii="Arial" w:hAnsi="Arial"/>
                <w:noProof w:val="0"/>
                <w:rtl/>
              </w:rPr>
              <w:t xml:space="preserve">(כך במקור – </w:t>
            </w:r>
            <w:proofErr w:type="spellStart"/>
            <w:r>
              <w:rPr>
                <w:rFonts w:ascii="Arial" w:hAnsi="Arial"/>
                <w:noProof w:val="0"/>
                <w:rtl/>
              </w:rPr>
              <w:t>פ.ג.כ</w:t>
            </w:r>
            <w:proofErr w:type="spellEnd"/>
            <w:r>
              <w:rPr>
                <w:rFonts w:ascii="Arial" w:hAnsi="Arial"/>
                <w:noProof w:val="0"/>
                <w:rtl/>
              </w:rPr>
              <w:t>)</w:t>
            </w:r>
            <w:r>
              <w:rPr>
                <w:rFonts w:ascii="Arial" w:hAnsi="Arial"/>
                <w:b/>
                <w:bCs/>
                <w:noProof w:val="0"/>
                <w:rtl/>
              </w:rPr>
              <w:t xml:space="preserve">, בקשר של מי מהם עם המבקש אביהם או בחלוקת זמני השהות. כן הגעתי לכלל מסקנה, כי הבקשה הוגשה בחוסר תום לב, בעיתוי מתוכנן ומדויק עת המשיבה נמצאת בעיצומו של מעבר דירה מהיישוב </w:t>
            </w:r>
            <w:r w:rsidR="00102C7B">
              <w:rPr>
                <w:rFonts w:ascii="Arial" w:hAnsi="Arial" w:hint="cs"/>
                <w:b/>
                <w:bCs/>
                <w:noProof w:val="0"/>
                <w:rtl/>
              </w:rPr>
              <w:t xml:space="preserve">... </w:t>
            </w:r>
            <w:r>
              <w:rPr>
                <w:rFonts w:ascii="Arial" w:hAnsi="Arial"/>
                <w:b/>
                <w:bCs/>
                <w:noProof w:val="0"/>
                <w:rtl/>
              </w:rPr>
              <w:t>ל</w:t>
            </w:r>
            <w:r w:rsidR="00102C7B">
              <w:rPr>
                <w:rFonts w:ascii="Arial" w:hAnsi="Arial" w:hint="cs"/>
                <w:b/>
                <w:bCs/>
                <w:noProof w:val="0"/>
                <w:rtl/>
              </w:rPr>
              <w:t>...</w:t>
            </w:r>
            <w:r>
              <w:rPr>
                <w:rFonts w:ascii="Arial" w:hAnsi="Arial"/>
                <w:b/>
                <w:bCs/>
                <w:noProof w:val="0"/>
                <w:rtl/>
              </w:rPr>
              <w:t xml:space="preserve"> 'על ארגזים', כאשר הבקשה הוגשה תוך מטרה לבצע מחטף או </w:t>
            </w:r>
            <w:proofErr w:type="spellStart"/>
            <w:r>
              <w:rPr>
                <w:rFonts w:ascii="Arial" w:hAnsi="Arial"/>
                <w:b/>
                <w:bCs/>
                <w:noProof w:val="0"/>
                <w:rtl/>
              </w:rPr>
              <w:t>למיצער</w:t>
            </w:r>
            <w:proofErr w:type="spellEnd"/>
            <w:r>
              <w:rPr>
                <w:rFonts w:ascii="Arial" w:hAnsi="Arial"/>
                <w:b/>
                <w:bCs/>
                <w:noProof w:val="0"/>
                <w:rtl/>
              </w:rPr>
              <w:t>, הכבדה מיותרת על המשיבה"</w:t>
            </w:r>
            <w:r>
              <w:rPr>
                <w:rFonts w:ascii="Arial" w:hAnsi="Arial"/>
                <w:noProof w:val="0"/>
                <w:rtl/>
              </w:rPr>
              <w:t xml:space="preserve">. </w:t>
            </w:r>
          </w:p>
          <w:p w:rsidR="00F94A3C" w:rsidRDefault="00F94A3C">
            <w:pPr>
              <w:pStyle w:val="a3"/>
              <w:rPr>
                <w:rFonts w:ascii="Arial" w:hAnsi="Arial"/>
                <w:noProof w:val="0"/>
              </w:rPr>
            </w:pPr>
          </w:p>
          <w:p w:rsidR="00F94A3C" w:rsidRDefault="00F94A3C" w:rsidP="006A07A0">
            <w:pPr>
              <w:pStyle w:val="a3"/>
              <w:numPr>
                <w:ilvl w:val="0"/>
                <w:numId w:val="1"/>
              </w:numPr>
              <w:spacing w:line="360" w:lineRule="auto"/>
              <w:jc w:val="both"/>
              <w:rPr>
                <w:rFonts w:ascii="Arial" w:hAnsi="Arial"/>
                <w:noProof w:val="0"/>
              </w:rPr>
            </w:pPr>
            <w:r>
              <w:rPr>
                <w:rFonts w:ascii="Arial" w:hAnsi="Arial"/>
                <w:noProof w:val="0"/>
                <w:rtl/>
              </w:rPr>
              <w:t xml:space="preserve">בשולי ההחלטה מצא בית המשפט קמא להעיר על התנהלות ב"כ המבקש במסגרת הדיון שהתקיים לפניו. </w:t>
            </w:r>
          </w:p>
          <w:p w:rsidR="00102C7B" w:rsidRDefault="00102C7B" w:rsidP="00102C7B">
            <w:pPr>
              <w:pStyle w:val="a3"/>
              <w:spacing w:line="360" w:lineRule="auto"/>
              <w:ind w:left="1080"/>
              <w:jc w:val="both"/>
              <w:rPr>
                <w:rFonts w:ascii="Arial" w:hAnsi="Arial"/>
                <w:noProof w:val="0"/>
                <w:rtl/>
              </w:rPr>
            </w:pPr>
          </w:p>
          <w:p w:rsidR="00F94A3C" w:rsidRDefault="00F94A3C" w:rsidP="006A07A0">
            <w:pPr>
              <w:pStyle w:val="a3"/>
              <w:numPr>
                <w:ilvl w:val="0"/>
                <w:numId w:val="1"/>
              </w:numPr>
              <w:spacing w:line="360" w:lineRule="auto"/>
              <w:jc w:val="both"/>
              <w:rPr>
                <w:rFonts w:ascii="Arial" w:hAnsi="Arial"/>
                <w:noProof w:val="0"/>
              </w:rPr>
            </w:pPr>
            <w:r>
              <w:rPr>
                <w:rFonts w:ascii="Arial" w:hAnsi="Arial"/>
                <w:noProof w:val="0"/>
                <w:rtl/>
              </w:rPr>
              <w:t>המבקש לא השלים עם ההחלטה, כאמור, והוא מבקש הרשות לערער עליה. המשיבה נתבקשה להגיב ופעלה כנדרש, ומכאן ההחלטה שלפנינו.</w:t>
            </w:r>
          </w:p>
          <w:p w:rsidR="00F94A3C" w:rsidRDefault="00F94A3C">
            <w:pPr>
              <w:pStyle w:val="a3"/>
              <w:spacing w:after="160"/>
              <w:ind w:left="1080"/>
              <w:jc w:val="both"/>
              <w:rPr>
                <w:rFonts w:ascii="David" w:eastAsia="Calibri" w:hAnsi="David"/>
                <w:b/>
                <w:bCs/>
                <w:noProof w:val="0"/>
                <w:sz w:val="26"/>
                <w:szCs w:val="26"/>
                <w:u w:val="single"/>
              </w:rPr>
            </w:pPr>
          </w:p>
          <w:p w:rsidR="00F94A3C" w:rsidRDefault="00F94A3C">
            <w:pPr>
              <w:pStyle w:val="a3"/>
              <w:spacing w:after="160" w:line="360" w:lineRule="auto"/>
              <w:jc w:val="both"/>
              <w:rPr>
                <w:rFonts w:ascii="David" w:eastAsia="Calibri" w:hAnsi="David"/>
                <w:b/>
                <w:bCs/>
                <w:noProof w:val="0"/>
                <w:sz w:val="26"/>
                <w:szCs w:val="26"/>
                <w:u w:val="single"/>
                <w:rtl/>
              </w:rPr>
            </w:pPr>
            <w:r>
              <w:rPr>
                <w:rFonts w:ascii="David" w:eastAsia="Calibri" w:hAnsi="David"/>
                <w:b/>
                <w:bCs/>
                <w:noProof w:val="0"/>
                <w:sz w:val="26"/>
                <w:szCs w:val="26"/>
                <w:u w:val="single"/>
                <w:rtl/>
              </w:rPr>
              <w:t xml:space="preserve">תמצית טענות הצדדים </w:t>
            </w:r>
          </w:p>
          <w:p w:rsidR="00F94A3C" w:rsidRDefault="00F94A3C" w:rsidP="00102C7B">
            <w:pPr>
              <w:pStyle w:val="a3"/>
              <w:numPr>
                <w:ilvl w:val="0"/>
                <w:numId w:val="1"/>
              </w:numPr>
              <w:spacing w:line="360" w:lineRule="auto"/>
              <w:jc w:val="both"/>
              <w:rPr>
                <w:rFonts w:ascii="Arial" w:hAnsi="Arial"/>
                <w:noProof w:val="0"/>
                <w:rtl/>
              </w:rPr>
            </w:pPr>
            <w:r>
              <w:rPr>
                <w:rFonts w:ascii="Arial" w:hAnsi="Arial"/>
                <w:b/>
                <w:bCs/>
                <w:noProof w:val="0"/>
                <w:u w:val="single"/>
                <w:rtl/>
              </w:rPr>
              <w:t>המבקש טוען</w:t>
            </w:r>
            <w:r>
              <w:rPr>
                <w:rFonts w:ascii="Arial" w:hAnsi="Arial"/>
                <w:noProof w:val="0"/>
                <w:rtl/>
              </w:rPr>
              <w:t xml:space="preserve">, כי מעבר הקטינים לעיר </w:t>
            </w:r>
            <w:r w:rsidR="00102C7B">
              <w:rPr>
                <w:rFonts w:ascii="Arial" w:hAnsi="Arial" w:hint="cs"/>
                <w:noProof w:val="0"/>
                <w:rtl/>
              </w:rPr>
              <w:t xml:space="preserve">... </w:t>
            </w:r>
            <w:r>
              <w:rPr>
                <w:rFonts w:ascii="Arial" w:hAnsi="Arial"/>
                <w:noProof w:val="0"/>
                <w:rtl/>
              </w:rPr>
              <w:t xml:space="preserve">יפגע פגיעה קשה מאוד בקטינים, במרקם חייהם החברתיים ובסדר יומם. לטענתו, עקב המעבר אין סידורי הסעה לקטינים כנהוג ברחבי המועצה האזורית ולכן הם נאלצים לשוטט ברחובות או לבלות בעל כורחם אצל חברים בשעות שלאחר הלימודים בהעדר יכולת להגיע לביתם בתום יום הלימודים; כי שגה בית המשפט קמא בקבעו שהוא ידע על כוונת האם להעתיק מגוריה עם הקטינים לעיר </w:t>
            </w:r>
            <w:r w:rsidR="00102C7B">
              <w:rPr>
                <w:rFonts w:ascii="Arial" w:hAnsi="Arial" w:hint="cs"/>
                <w:noProof w:val="0"/>
                <w:rtl/>
              </w:rPr>
              <w:t>...</w:t>
            </w:r>
            <w:r>
              <w:rPr>
                <w:rFonts w:ascii="Arial" w:hAnsi="Arial"/>
                <w:noProof w:val="0"/>
                <w:rtl/>
              </w:rPr>
              <w:t xml:space="preserve">; כי שגה בית המשפט קמא בהתעלמו מהפרת המשיבה את הצווים שיצאו תחת ידו ובחירתה לפעול </w:t>
            </w:r>
            <w:r>
              <w:rPr>
                <w:rFonts w:ascii="Arial" w:hAnsi="Arial"/>
                <w:noProof w:val="0"/>
                <w:rtl/>
              </w:rPr>
              <w:lastRenderedPageBreak/>
              <w:t xml:space="preserve">באופן חד צדדי. לדידו, יש בהתנהלות זו מסר פסול על פיו ניתן להפר צווים שיפוטיים ובית המשפט עובר על כך בשתיקה; כי שגה בית המשפט קמא בהתעלמו מהוראות הדין ומן הכלל הקבוע בחוק הכשרות המשפטית והאפוטרופסות לפיו, בהעדר הסכמה בין ההורים באיזה מעייניהם של ילדיהם הקטינים, יכריע בית המשפט ולא מי מהם בצעד חד צדדי;  כי נפלה שגגה במסקנה אליה הגיע בית המשפט קמא בנוגע לעמדתו בעניין הצעת הפשרה שניתנה ע"י בית המשפט; בהצעת הפשרה שניתנה ע"י בית המשפט טמון מסר לפיו המשיבה לא פעלה כדין משההפרה הצווים השיפוטיים שניתנו; כי ההחלטה ניתנה בלא שטובת הקטינים נבחנה כדבעי. כן מלין המבקש על גובה ההוצאות שהושתו עליו וטוען כי אינן אלא </w:t>
            </w:r>
            <w:proofErr w:type="spellStart"/>
            <w:r>
              <w:rPr>
                <w:rFonts w:ascii="Arial" w:hAnsi="Arial"/>
                <w:noProof w:val="0"/>
                <w:rtl/>
              </w:rPr>
              <w:t>עונשיות</w:t>
            </w:r>
            <w:proofErr w:type="spellEnd"/>
            <w:r>
              <w:rPr>
                <w:rFonts w:ascii="Arial" w:hAnsi="Arial"/>
                <w:noProof w:val="0"/>
                <w:rtl/>
              </w:rPr>
              <w:t xml:space="preserve"> ועל קביעות בית המשפט קמא בעניין מהימנותו ותום לבו.</w:t>
            </w:r>
          </w:p>
          <w:p w:rsidR="00F94A3C" w:rsidRDefault="00F94A3C" w:rsidP="00102C7B">
            <w:pPr>
              <w:pStyle w:val="a3"/>
              <w:spacing w:line="360" w:lineRule="auto"/>
              <w:ind w:left="1080"/>
              <w:jc w:val="both"/>
              <w:rPr>
                <w:rFonts w:ascii="Arial" w:hAnsi="Arial"/>
                <w:noProof w:val="0"/>
              </w:rPr>
            </w:pPr>
            <w:r>
              <w:rPr>
                <w:rFonts w:ascii="Arial" w:hAnsi="Arial"/>
                <w:noProof w:val="0"/>
                <w:rtl/>
              </w:rPr>
              <w:t xml:space="preserve">לפיכך עותר המבקש, לקבל רשות ערעור על ההחלטה, לדיון בה כבערעור ולבטלה תוך מתן הוראה להשבת הקטינים למגורים במושב </w:t>
            </w:r>
            <w:r w:rsidR="00102C7B">
              <w:rPr>
                <w:rFonts w:ascii="Arial" w:hAnsi="Arial" w:hint="cs"/>
                <w:noProof w:val="0"/>
                <w:rtl/>
              </w:rPr>
              <w:t>...</w:t>
            </w:r>
            <w:r>
              <w:rPr>
                <w:rFonts w:ascii="Arial" w:hAnsi="Arial"/>
                <w:noProof w:val="0"/>
                <w:rtl/>
              </w:rPr>
              <w:t xml:space="preserve">.   </w:t>
            </w:r>
          </w:p>
          <w:p w:rsidR="00F94A3C" w:rsidRDefault="00F94A3C">
            <w:pPr>
              <w:pStyle w:val="a3"/>
              <w:spacing w:line="360" w:lineRule="auto"/>
              <w:ind w:left="1080"/>
              <w:jc w:val="both"/>
              <w:rPr>
                <w:rFonts w:ascii="Arial" w:hAnsi="Arial"/>
                <w:noProof w:val="0"/>
              </w:rPr>
            </w:pPr>
          </w:p>
          <w:p w:rsidR="00F94A3C" w:rsidRDefault="00F94A3C" w:rsidP="00102C7B">
            <w:pPr>
              <w:pStyle w:val="a3"/>
              <w:numPr>
                <w:ilvl w:val="0"/>
                <w:numId w:val="1"/>
              </w:numPr>
              <w:spacing w:line="360" w:lineRule="auto"/>
              <w:jc w:val="both"/>
              <w:rPr>
                <w:rFonts w:ascii="Arial" w:hAnsi="Arial"/>
                <w:noProof w:val="0"/>
              </w:rPr>
            </w:pPr>
            <w:r>
              <w:rPr>
                <w:rFonts w:ascii="Arial" w:hAnsi="Arial"/>
                <w:noProof w:val="0"/>
                <w:rtl/>
              </w:rPr>
              <w:t xml:space="preserve">מנגד </w:t>
            </w:r>
            <w:r>
              <w:rPr>
                <w:rFonts w:ascii="Arial" w:hAnsi="Arial"/>
                <w:b/>
                <w:bCs/>
                <w:noProof w:val="0"/>
                <w:u w:val="single"/>
                <w:rtl/>
              </w:rPr>
              <w:t>טוענת המשיבה</w:t>
            </w:r>
            <w:r>
              <w:rPr>
                <w:rFonts w:ascii="Arial" w:hAnsi="Arial"/>
                <w:noProof w:val="0"/>
                <w:rtl/>
              </w:rPr>
              <w:t xml:space="preserve">, כי הבקשה הוגשה בחוסר תום לב, תוך השמטה והסתרה של פרטים מהותיים, ותוך שימוש לרעה בהליכי המשפט העולה כדי התעללות בה. בתוך כך היא טוענת, כי המבקש אינו מציין, למשל, שצו המניעה נמסר לידיה בעת שהליך המעבר כמעט הושלם, שהקטינים שיתפו את המבקש חודשים מספר לפני המעבר בתחושותיהם לקראתו, והוא היה מודע לו, ושמרכז חייו </w:t>
            </w:r>
            <w:r w:rsidR="00102C7B">
              <w:rPr>
                <w:rFonts w:ascii="Arial" w:hAnsi="Arial" w:hint="cs"/>
                <w:noProof w:val="0"/>
                <w:rtl/>
              </w:rPr>
              <w:t>ב....</w:t>
            </w:r>
            <w:r>
              <w:rPr>
                <w:rFonts w:ascii="Arial" w:hAnsi="Arial"/>
                <w:noProof w:val="0"/>
                <w:rtl/>
              </w:rPr>
              <w:t xml:space="preserve"> ומכאן שהקטינים לא הורחקו ממנו אגב המעבר; כי ההתנגדות למעבר אינה משיקולים עניינים והיא נובעת מבצע כסף; לטענתה, השינוי במקום המגורים נעשה לאחר ששיתפה בכך את הקטינים וקיבלה את ברכתם, והם מרוצים ממנו מאד; עוד נטען על ידה, כי בניגוד לטענות המבקש, היא לא הפרה הצווים השיפוטיים ולא עשתה דין לעצמה, ומכל מקום אין כל הצדקה בכפיית מגורים על הקטינים בישוב שאין להם עוד מקום להתגורר בו, ויש לדבוק בגישת המעשה העשוי; כי אין במעבר כדי לפגוע בטובת הקטינים ו/או בהסדרי הקשר שלהם עם המבקש, אלא ההיפך הוא הנכון; לשיטתה, בנסיבות המקרה דנא בעת בחינת מאזן הנוחות נוטה הכף באופן מובהק לטובתה, בפרט שעה שמבחינת המבקש מדובר במקום מגורים חדש שאינו מרוחק ממקום המגורים שלו, וזכויותיו כאב אינן נפגעות, ושעה שמרכז חייו </w:t>
            </w:r>
            <w:r w:rsidR="00102C7B">
              <w:rPr>
                <w:rFonts w:ascii="Arial" w:hAnsi="Arial" w:hint="cs"/>
                <w:noProof w:val="0"/>
                <w:rtl/>
              </w:rPr>
              <w:t>ב...</w:t>
            </w:r>
            <w:r>
              <w:rPr>
                <w:rFonts w:ascii="Arial" w:hAnsi="Arial"/>
                <w:noProof w:val="0"/>
                <w:rtl/>
              </w:rPr>
              <w:t xml:space="preserve">. לפיכך, עותרת המשיבה לדחיית הבקשה. </w:t>
            </w:r>
          </w:p>
          <w:p w:rsidR="00F94A3C" w:rsidRDefault="00F94A3C">
            <w:pPr>
              <w:pStyle w:val="a3"/>
              <w:spacing w:after="160" w:line="360" w:lineRule="auto"/>
              <w:jc w:val="both"/>
              <w:rPr>
                <w:rFonts w:ascii="David" w:eastAsia="Calibri" w:hAnsi="David"/>
                <w:b/>
                <w:bCs/>
                <w:noProof w:val="0"/>
                <w:sz w:val="26"/>
                <w:szCs w:val="26"/>
                <w:u w:val="single"/>
              </w:rPr>
            </w:pPr>
          </w:p>
          <w:p w:rsidR="00F94A3C" w:rsidRDefault="00F94A3C">
            <w:pPr>
              <w:pStyle w:val="a3"/>
              <w:spacing w:after="160" w:line="360" w:lineRule="auto"/>
              <w:jc w:val="both"/>
              <w:rPr>
                <w:rFonts w:ascii="David" w:eastAsia="Calibri" w:hAnsi="David"/>
                <w:b/>
                <w:bCs/>
                <w:noProof w:val="0"/>
                <w:sz w:val="26"/>
                <w:szCs w:val="26"/>
                <w:u w:val="single"/>
                <w:rtl/>
              </w:rPr>
            </w:pPr>
            <w:r>
              <w:rPr>
                <w:rFonts w:ascii="David" w:eastAsia="Calibri" w:hAnsi="David"/>
                <w:b/>
                <w:bCs/>
                <w:noProof w:val="0"/>
                <w:sz w:val="26"/>
                <w:szCs w:val="26"/>
                <w:u w:val="single"/>
                <w:rtl/>
              </w:rPr>
              <w:t>דיון והכרעה</w:t>
            </w:r>
          </w:p>
          <w:p w:rsidR="00F94A3C" w:rsidRDefault="00F94A3C">
            <w:pPr>
              <w:pStyle w:val="a3"/>
              <w:spacing w:after="160"/>
              <w:jc w:val="both"/>
              <w:rPr>
                <w:rFonts w:ascii="David" w:eastAsia="Calibri" w:hAnsi="David"/>
                <w:b/>
                <w:bCs/>
                <w:noProof w:val="0"/>
                <w:sz w:val="26"/>
                <w:szCs w:val="26"/>
                <w:u w:val="single"/>
                <w:rtl/>
              </w:rPr>
            </w:pPr>
          </w:p>
          <w:p w:rsidR="00F94A3C" w:rsidRDefault="00F94A3C" w:rsidP="006A07A0">
            <w:pPr>
              <w:pStyle w:val="a3"/>
              <w:numPr>
                <w:ilvl w:val="0"/>
                <w:numId w:val="1"/>
              </w:numPr>
              <w:spacing w:line="360" w:lineRule="auto"/>
              <w:jc w:val="both"/>
              <w:rPr>
                <w:rFonts w:ascii="Arial" w:hAnsi="Arial"/>
                <w:noProof w:val="0"/>
                <w:rtl/>
              </w:rPr>
            </w:pPr>
            <w:r>
              <w:rPr>
                <w:rFonts w:ascii="Arial" w:hAnsi="Arial"/>
                <w:b/>
                <w:bCs/>
                <w:noProof w:val="0"/>
                <w:rtl/>
              </w:rPr>
              <w:t>על יסוד תקנה 138(א)(5) ותקנה 148(ב) לתקנות סדר הדין האזרחי, תשע"ט-2018 לאחר בחינת טענות הצדדים ועיון בתיק שהתנהל בבית המשפט קמא, באתי למסקנה כי דין הבקשה להידחות, משלא מצאתי כי יצאה שגגה תחת ידי בית המשפט קמא ומשנחה דעתי, כי אין טעות בממצאים העובדתיים שנקבעו על ידו וכי הם תומכים במסקנה המשפטית אליה הגיע.</w:t>
            </w:r>
          </w:p>
          <w:p w:rsidR="00F94A3C" w:rsidRDefault="00F94A3C">
            <w:pPr>
              <w:pStyle w:val="a3"/>
              <w:ind w:left="1080"/>
              <w:jc w:val="both"/>
              <w:rPr>
                <w:rFonts w:ascii="Arial" w:hAnsi="Arial"/>
                <w:noProof w:val="0"/>
              </w:rPr>
            </w:pPr>
          </w:p>
          <w:p w:rsidR="00F94A3C" w:rsidRDefault="00F94A3C" w:rsidP="006A07A0">
            <w:pPr>
              <w:pStyle w:val="a3"/>
              <w:numPr>
                <w:ilvl w:val="0"/>
                <w:numId w:val="1"/>
              </w:numPr>
              <w:spacing w:line="360" w:lineRule="auto"/>
              <w:jc w:val="both"/>
              <w:rPr>
                <w:rFonts w:ascii="Arial" w:hAnsi="Arial"/>
                <w:noProof w:val="0"/>
              </w:rPr>
            </w:pPr>
            <w:r>
              <w:rPr>
                <w:rFonts w:ascii="Arial" w:hAnsi="Arial"/>
                <w:noProof w:val="0"/>
                <w:rtl/>
              </w:rPr>
              <w:t xml:space="preserve">ההחלטה שלפנינו נשענת על ממצאים שבעובדה ובמהימנות לאחר שהתקיים, כאמור, דיון בפני בית המשפט קמא והוא התרשם מן הצדדים באופן בלתי אמצעי. </w:t>
            </w:r>
          </w:p>
          <w:p w:rsidR="00F94A3C" w:rsidRDefault="00F94A3C">
            <w:pPr>
              <w:pStyle w:val="a3"/>
              <w:rPr>
                <w:rFonts w:ascii="Arial" w:hAnsi="Arial"/>
                <w:noProof w:val="0"/>
              </w:rPr>
            </w:pPr>
          </w:p>
          <w:p w:rsidR="00F94A3C" w:rsidRDefault="00F94A3C" w:rsidP="006A07A0">
            <w:pPr>
              <w:pStyle w:val="a3"/>
              <w:numPr>
                <w:ilvl w:val="0"/>
                <w:numId w:val="1"/>
              </w:numPr>
              <w:spacing w:line="360" w:lineRule="auto"/>
              <w:jc w:val="both"/>
              <w:rPr>
                <w:rFonts w:ascii="Arial" w:hAnsi="Arial"/>
                <w:noProof w:val="0"/>
                <w:rtl/>
              </w:rPr>
            </w:pPr>
            <w:r>
              <w:rPr>
                <w:rFonts w:ascii="Arial" w:hAnsi="Arial"/>
                <w:noProof w:val="0"/>
                <w:rtl/>
              </w:rPr>
              <w:lastRenderedPageBreak/>
              <w:t>כידוע, אין דרכה של ערכאת הערעור להתערב בממצאים ממין אלה, שהרי ברי כי לערכאה הדיונית יתרון ניכר על פניה, אלא במקרים חריגים בלבד, ולא מצאתי כי המקרה שלפנינו בא בגדרם.</w:t>
            </w:r>
          </w:p>
          <w:p w:rsidR="00F94A3C" w:rsidRDefault="00F94A3C">
            <w:pPr>
              <w:pStyle w:val="a3"/>
              <w:rPr>
                <w:rFonts w:ascii="Arial" w:hAnsi="Arial"/>
                <w:noProof w:val="0"/>
              </w:rPr>
            </w:pPr>
          </w:p>
          <w:p w:rsidR="00F94A3C" w:rsidRDefault="00F94A3C" w:rsidP="006A07A0">
            <w:pPr>
              <w:pStyle w:val="a3"/>
              <w:numPr>
                <w:ilvl w:val="0"/>
                <w:numId w:val="1"/>
              </w:numPr>
              <w:spacing w:line="360" w:lineRule="auto"/>
              <w:jc w:val="both"/>
              <w:rPr>
                <w:rFonts w:ascii="Arial" w:hAnsi="Arial"/>
                <w:noProof w:val="0"/>
                <w:rtl/>
              </w:rPr>
            </w:pPr>
            <w:r>
              <w:rPr>
                <w:rFonts w:ascii="Arial" w:hAnsi="Arial"/>
                <w:noProof w:val="0"/>
                <w:rtl/>
              </w:rPr>
              <w:t>בעניין זה מצאתי לציין במיוחד הדברים הבאים:</w:t>
            </w:r>
          </w:p>
          <w:p w:rsidR="00F94A3C" w:rsidRDefault="00F94A3C">
            <w:pPr>
              <w:pStyle w:val="a3"/>
              <w:rPr>
                <w:rFonts w:ascii="Arial" w:hAnsi="Arial"/>
                <w:noProof w:val="0"/>
              </w:rPr>
            </w:pPr>
          </w:p>
          <w:p w:rsidR="00F94A3C" w:rsidRDefault="00F94A3C" w:rsidP="00102C7B">
            <w:pPr>
              <w:pStyle w:val="a3"/>
              <w:numPr>
                <w:ilvl w:val="0"/>
                <w:numId w:val="2"/>
              </w:numPr>
              <w:spacing w:line="360" w:lineRule="auto"/>
              <w:jc w:val="both"/>
              <w:rPr>
                <w:rFonts w:ascii="Arial" w:hAnsi="Arial"/>
                <w:noProof w:val="0"/>
                <w:rtl/>
              </w:rPr>
            </w:pPr>
            <w:r>
              <w:rPr>
                <w:rFonts w:ascii="Arial" w:hAnsi="Arial"/>
                <w:noProof w:val="0"/>
                <w:rtl/>
              </w:rPr>
              <w:t xml:space="preserve">ראשית, כי אין להתעלם מגיל הקטינים. עניין לנו, כאמור, בנער ובנערה בגיל ההתבגרות, עצמאיים בהתנהלותם ובדעתם, ובהעדר אינדיקציה אחרת, יש להניח, כי אלמלא היה מעבר המשיבה למגורים בעיר </w:t>
            </w:r>
            <w:r w:rsidR="00102C7B">
              <w:rPr>
                <w:rFonts w:ascii="Arial" w:hAnsi="Arial" w:hint="cs"/>
                <w:noProof w:val="0"/>
                <w:rtl/>
              </w:rPr>
              <w:t xml:space="preserve">.... </w:t>
            </w:r>
            <w:r>
              <w:rPr>
                <w:rFonts w:ascii="Arial" w:hAnsi="Arial"/>
                <w:noProof w:val="0"/>
                <w:rtl/>
              </w:rPr>
              <w:t xml:space="preserve">על דעתם, היה המבקש, לכל הפחות, מודע לכך. </w:t>
            </w:r>
          </w:p>
          <w:p w:rsidR="00F94A3C" w:rsidRDefault="00F94A3C">
            <w:pPr>
              <w:pStyle w:val="a3"/>
              <w:ind w:left="1128" w:hanging="425"/>
              <w:rPr>
                <w:rFonts w:ascii="Arial" w:hAnsi="Arial"/>
                <w:noProof w:val="0"/>
              </w:rPr>
            </w:pPr>
          </w:p>
          <w:p w:rsidR="00F94A3C" w:rsidRDefault="00F94A3C">
            <w:pPr>
              <w:pStyle w:val="a3"/>
              <w:spacing w:line="360" w:lineRule="auto"/>
              <w:ind w:left="1412" w:hanging="425"/>
              <w:jc w:val="both"/>
              <w:rPr>
                <w:rFonts w:ascii="Arial" w:hAnsi="Arial"/>
                <w:noProof w:val="0"/>
                <w:rtl/>
              </w:rPr>
            </w:pPr>
            <w:r>
              <w:rPr>
                <w:rFonts w:ascii="Arial" w:hAnsi="Arial"/>
                <w:noProof w:val="0"/>
                <w:rtl/>
              </w:rPr>
              <w:t xml:space="preserve">         המבקש לא טען בשום שלב בפני בית המשפט קמא ואף לא בפני בית משפט זה, כי                              הקטינים מתנגדים למעבר.        </w:t>
            </w:r>
          </w:p>
          <w:p w:rsidR="00F94A3C" w:rsidRDefault="00F94A3C">
            <w:pPr>
              <w:pStyle w:val="a3"/>
              <w:rPr>
                <w:rFonts w:ascii="Arial" w:hAnsi="Arial"/>
                <w:noProof w:val="0"/>
              </w:rPr>
            </w:pPr>
          </w:p>
          <w:p w:rsidR="00F94A3C" w:rsidRDefault="00F94A3C" w:rsidP="006A07A0">
            <w:pPr>
              <w:pStyle w:val="a3"/>
              <w:numPr>
                <w:ilvl w:val="0"/>
                <w:numId w:val="2"/>
              </w:numPr>
              <w:spacing w:line="360" w:lineRule="auto"/>
              <w:jc w:val="both"/>
              <w:rPr>
                <w:rFonts w:ascii="Arial" w:hAnsi="Arial"/>
                <w:noProof w:val="0"/>
                <w:rtl/>
              </w:rPr>
            </w:pPr>
            <w:r>
              <w:rPr>
                <w:rFonts w:ascii="Arial" w:hAnsi="Arial"/>
                <w:noProof w:val="0"/>
                <w:rtl/>
              </w:rPr>
              <w:t xml:space="preserve">על אף שעסקינן בקטינים אשר ניהול ענייניהם בידי הוריהם שהם </w:t>
            </w:r>
            <w:proofErr w:type="spellStart"/>
            <w:r>
              <w:rPr>
                <w:rFonts w:ascii="Arial" w:hAnsi="Arial"/>
                <w:noProof w:val="0"/>
                <w:rtl/>
              </w:rPr>
              <w:t>אפוטרופסיהם</w:t>
            </w:r>
            <w:proofErr w:type="spellEnd"/>
            <w:r>
              <w:rPr>
                <w:rFonts w:ascii="Arial" w:hAnsi="Arial"/>
                <w:noProof w:val="0"/>
                <w:rtl/>
              </w:rPr>
              <w:t xml:space="preserve"> הטבעיים חוסה תחת חוק הכשרות המשפטית והאפוטרופסות, תשכ"ב-1962 (סעיף 15), בשים לב לגילם, ברי כי לא ניתן לכפות עליהם חזרה למגורים בישוב שאף אחד מהוריהם אינו מתגורר בו. ברי גם, כי בעת בחינת טובתם, יש להתחשב ברצונם ובדעתם, ואין צורך להכביר מילים בדבר, משהוא מעוגן גם בחקיקה, לרבות האמנה הבינלאומית לזכויות הילד, שמדינת ישראל הצטרפה אליה לפני עשרות שנים.</w:t>
            </w:r>
          </w:p>
          <w:p w:rsidR="00F94A3C" w:rsidRDefault="00F94A3C">
            <w:pPr>
              <w:pStyle w:val="a3"/>
              <w:spacing w:line="360" w:lineRule="auto"/>
              <w:ind w:left="1080"/>
              <w:jc w:val="both"/>
              <w:rPr>
                <w:rFonts w:ascii="Arial" w:hAnsi="Arial"/>
                <w:noProof w:val="0"/>
                <w:rtl/>
              </w:rPr>
            </w:pPr>
          </w:p>
          <w:p w:rsidR="00F94A3C" w:rsidRDefault="00F94A3C" w:rsidP="00102C7B">
            <w:pPr>
              <w:pStyle w:val="a3"/>
              <w:spacing w:line="360" w:lineRule="auto"/>
              <w:ind w:left="1412"/>
              <w:jc w:val="both"/>
              <w:rPr>
                <w:rFonts w:ascii="Arial" w:hAnsi="Arial"/>
                <w:noProof w:val="0"/>
                <w:rtl/>
              </w:rPr>
            </w:pPr>
            <w:r>
              <w:rPr>
                <w:rFonts w:ascii="Arial" w:hAnsi="Arial"/>
                <w:noProof w:val="0"/>
                <w:rtl/>
              </w:rPr>
              <w:t xml:space="preserve"> ודוק, טענת המשיבה לפיה ההחלטה על המעבר ל</w:t>
            </w:r>
            <w:r w:rsidR="00102C7B">
              <w:rPr>
                <w:rFonts w:ascii="Arial" w:hAnsi="Arial" w:hint="cs"/>
                <w:noProof w:val="0"/>
                <w:rtl/>
              </w:rPr>
              <w:t>...</w:t>
            </w:r>
            <w:r>
              <w:rPr>
                <w:rFonts w:ascii="Arial" w:hAnsi="Arial"/>
                <w:noProof w:val="0"/>
                <w:rtl/>
              </w:rPr>
              <w:t xml:space="preserve"> התקבלה על דעת הקטינים,  לאחר היוועצות בהם וקבלת ברכתם למהלך, לא נסתרה.   </w:t>
            </w:r>
          </w:p>
          <w:p w:rsidR="00F94A3C" w:rsidRDefault="00F94A3C">
            <w:pPr>
              <w:pStyle w:val="a3"/>
              <w:jc w:val="center"/>
              <w:rPr>
                <w:rFonts w:ascii="Arial" w:hAnsi="Arial"/>
                <w:noProof w:val="0"/>
              </w:rPr>
            </w:pPr>
          </w:p>
          <w:p w:rsidR="00F94A3C" w:rsidRDefault="00F94A3C" w:rsidP="00102C7B">
            <w:pPr>
              <w:pStyle w:val="a3"/>
              <w:numPr>
                <w:ilvl w:val="0"/>
                <w:numId w:val="2"/>
              </w:numPr>
              <w:spacing w:line="360" w:lineRule="auto"/>
              <w:jc w:val="both"/>
              <w:rPr>
                <w:rFonts w:ascii="Arial" w:hAnsi="Arial"/>
                <w:noProof w:val="0"/>
                <w:rtl/>
              </w:rPr>
            </w:pPr>
            <w:r>
              <w:rPr>
                <w:rFonts w:ascii="Arial" w:hAnsi="Arial"/>
                <w:noProof w:val="0"/>
                <w:rtl/>
              </w:rPr>
              <w:t xml:space="preserve">המבקש אינו מכחיש, כעולה מפרוטוקול הדיון שהתקיים בפני בית המשפט קמא, כי הגם שאינו מתגורר </w:t>
            </w:r>
            <w:r w:rsidR="00102C7B">
              <w:rPr>
                <w:rFonts w:ascii="Arial" w:hAnsi="Arial" w:hint="cs"/>
                <w:noProof w:val="0"/>
                <w:rtl/>
              </w:rPr>
              <w:t>ב....</w:t>
            </w:r>
            <w:r>
              <w:rPr>
                <w:rFonts w:ascii="Arial" w:hAnsi="Arial"/>
                <w:noProof w:val="0"/>
                <w:rtl/>
              </w:rPr>
              <w:t xml:space="preserve">, הוא שוהה בה חלק נכבד מזמנו. </w:t>
            </w:r>
          </w:p>
          <w:p w:rsidR="00F94A3C" w:rsidRDefault="00F94A3C">
            <w:pPr>
              <w:pStyle w:val="a3"/>
              <w:spacing w:line="360" w:lineRule="auto"/>
              <w:ind w:left="1128"/>
              <w:jc w:val="both"/>
              <w:rPr>
                <w:rFonts w:ascii="Arial" w:hAnsi="Arial"/>
                <w:noProof w:val="0"/>
              </w:rPr>
            </w:pPr>
          </w:p>
          <w:p w:rsidR="00F94A3C" w:rsidRDefault="00F94A3C" w:rsidP="00102C7B">
            <w:pPr>
              <w:pStyle w:val="a3"/>
              <w:spacing w:line="360" w:lineRule="auto"/>
              <w:ind w:left="1412"/>
              <w:jc w:val="both"/>
              <w:rPr>
                <w:rFonts w:ascii="Arial" w:hAnsi="Arial"/>
                <w:noProof w:val="0"/>
                <w:rtl/>
              </w:rPr>
            </w:pPr>
            <w:r>
              <w:rPr>
                <w:rFonts w:ascii="Arial" w:hAnsi="Arial"/>
                <w:noProof w:val="0"/>
                <w:rtl/>
              </w:rPr>
              <w:t xml:space="preserve">הנה כי כן, לא עלה בידו להוכיח שיש בהעתקת מקום המגורים של המשיבה לעיר </w:t>
            </w:r>
            <w:r w:rsidR="00102C7B">
              <w:rPr>
                <w:rFonts w:ascii="Arial" w:hAnsi="Arial" w:hint="cs"/>
                <w:noProof w:val="0"/>
                <w:rtl/>
              </w:rPr>
              <w:t>....</w:t>
            </w:r>
            <w:r>
              <w:rPr>
                <w:rFonts w:ascii="Arial" w:hAnsi="Arial"/>
                <w:noProof w:val="0"/>
                <w:rtl/>
              </w:rPr>
              <w:t xml:space="preserve"> כדי לפגוע בזמני השהות שלו עם הקטינים, עת ממילא נראה, כי בעת שהם שוהים עם המשיבה, ספק אם הוא נמצא בביתו שבדרום.</w:t>
            </w:r>
          </w:p>
          <w:p w:rsidR="00F94A3C" w:rsidRDefault="00F94A3C">
            <w:pPr>
              <w:pStyle w:val="a3"/>
              <w:spacing w:line="360" w:lineRule="auto"/>
              <w:ind w:left="1128"/>
              <w:jc w:val="both"/>
              <w:rPr>
                <w:rFonts w:ascii="Arial" w:hAnsi="Arial"/>
                <w:noProof w:val="0"/>
                <w:rtl/>
              </w:rPr>
            </w:pPr>
          </w:p>
          <w:p w:rsidR="00F94A3C" w:rsidRDefault="00F94A3C" w:rsidP="00102C7B">
            <w:pPr>
              <w:pStyle w:val="a3"/>
              <w:spacing w:line="360" w:lineRule="auto"/>
              <w:ind w:left="1412"/>
              <w:jc w:val="both"/>
              <w:rPr>
                <w:rFonts w:ascii="Arial" w:hAnsi="Arial"/>
                <w:noProof w:val="0"/>
                <w:rtl/>
              </w:rPr>
            </w:pPr>
            <w:r>
              <w:rPr>
                <w:rFonts w:ascii="Arial" w:hAnsi="Arial"/>
                <w:noProof w:val="0"/>
                <w:rtl/>
              </w:rPr>
              <w:t xml:space="preserve">כך או כך, מן המונח לפניי עולה, כי הקטינים מגיעים אליו עצמאית, בין אם </w:t>
            </w:r>
            <w:r w:rsidR="00102C7B">
              <w:rPr>
                <w:rFonts w:ascii="Arial" w:hAnsi="Arial" w:hint="cs"/>
                <w:noProof w:val="0"/>
                <w:rtl/>
              </w:rPr>
              <w:t>ל....</w:t>
            </w:r>
            <w:r>
              <w:rPr>
                <w:rFonts w:ascii="Arial" w:hAnsi="Arial"/>
                <w:noProof w:val="0"/>
                <w:rtl/>
              </w:rPr>
              <w:t xml:space="preserve"> ובין אם לביתו בדרום.  </w:t>
            </w:r>
          </w:p>
          <w:p w:rsidR="00F94A3C" w:rsidRDefault="00F94A3C">
            <w:pPr>
              <w:pStyle w:val="a3"/>
              <w:spacing w:line="360" w:lineRule="auto"/>
              <w:ind w:left="1440"/>
              <w:jc w:val="both"/>
              <w:rPr>
                <w:rFonts w:ascii="Arial" w:hAnsi="Arial"/>
                <w:noProof w:val="0"/>
              </w:rPr>
            </w:pPr>
          </w:p>
          <w:p w:rsidR="00F94A3C" w:rsidRDefault="00F94A3C" w:rsidP="006A07A0">
            <w:pPr>
              <w:pStyle w:val="a3"/>
              <w:numPr>
                <w:ilvl w:val="0"/>
                <w:numId w:val="2"/>
              </w:numPr>
              <w:spacing w:line="360" w:lineRule="auto"/>
              <w:jc w:val="both"/>
              <w:rPr>
                <w:rFonts w:ascii="Arial" w:hAnsi="Arial"/>
                <w:noProof w:val="0"/>
              </w:rPr>
            </w:pPr>
            <w:r>
              <w:rPr>
                <w:rFonts w:ascii="Arial" w:hAnsi="Arial"/>
                <w:noProof w:val="0"/>
                <w:rtl/>
              </w:rPr>
              <w:t xml:space="preserve">עוד עולה מן המונח לפניי, כי מקום לימודי הקטינים לא שונה בעקבות העתקת מקום מגורי המשיבה, ומכאן שספק אם שינוי זה גרם לפגיעה בשגרת חייהם בעוצמה המתוארת ע"י המבקש.  </w:t>
            </w:r>
          </w:p>
          <w:p w:rsidR="00F94A3C" w:rsidRDefault="00F94A3C">
            <w:pPr>
              <w:pStyle w:val="a3"/>
              <w:spacing w:line="360" w:lineRule="auto"/>
              <w:ind w:left="1128"/>
              <w:jc w:val="both"/>
              <w:rPr>
                <w:rFonts w:ascii="Arial" w:hAnsi="Arial"/>
                <w:noProof w:val="0"/>
              </w:rPr>
            </w:pPr>
          </w:p>
          <w:p w:rsidR="00F94A3C" w:rsidRDefault="00F94A3C">
            <w:pPr>
              <w:pStyle w:val="a3"/>
              <w:spacing w:line="360" w:lineRule="auto"/>
              <w:ind w:left="1412"/>
              <w:jc w:val="both"/>
              <w:rPr>
                <w:rFonts w:ascii="Arial" w:hAnsi="Arial"/>
                <w:noProof w:val="0"/>
                <w:rtl/>
              </w:rPr>
            </w:pPr>
            <w:r>
              <w:rPr>
                <w:rFonts w:ascii="Arial" w:hAnsi="Arial"/>
                <w:noProof w:val="0"/>
                <w:rtl/>
              </w:rPr>
              <w:lastRenderedPageBreak/>
              <w:t>בתוך כך יש לזכור, כי המעבר נעשה מישוב אחד למשנהו ברדיוס לא גדול יחסית, וממילא לא באופן שהצריך שינוי בזמני השהות של הקטינים עם המבקש ו/או במוסדות החינוך בהם הם משולבים.</w:t>
            </w:r>
          </w:p>
          <w:p w:rsidR="00F94A3C" w:rsidRDefault="00F94A3C">
            <w:pPr>
              <w:pStyle w:val="a3"/>
              <w:spacing w:line="360" w:lineRule="auto"/>
              <w:ind w:left="1412"/>
              <w:jc w:val="both"/>
              <w:rPr>
                <w:rFonts w:ascii="Arial" w:hAnsi="Arial"/>
                <w:noProof w:val="0"/>
                <w:rtl/>
              </w:rPr>
            </w:pPr>
          </w:p>
          <w:p w:rsidR="00F94A3C" w:rsidRDefault="00F94A3C" w:rsidP="006A07A0">
            <w:pPr>
              <w:pStyle w:val="a3"/>
              <w:numPr>
                <w:ilvl w:val="0"/>
                <w:numId w:val="2"/>
              </w:numPr>
              <w:spacing w:line="360" w:lineRule="auto"/>
              <w:jc w:val="both"/>
              <w:rPr>
                <w:rFonts w:ascii="Arial" w:hAnsi="Arial"/>
                <w:noProof w:val="0"/>
              </w:rPr>
            </w:pPr>
            <w:r>
              <w:rPr>
                <w:rFonts w:ascii="Arial" w:hAnsi="Arial"/>
                <w:noProof w:val="0"/>
                <w:rtl/>
              </w:rPr>
              <w:t xml:space="preserve">יש להבחין בין האוטונומיה של המשיבה לבחור מקום המגורים שלה ובין זכויות הקטינים וזכויותיו ההוריות של המבקש. במקרה דנא, על נסיבותיו הקונקרטיות, לא נראה שישנה התנגשות בין הזכויות הללו, ומכל מקום לא כזו שיש בה כדי להצדיק פגיעה בזכות המשיבה האמורה, שהיא בבחינת זכות יסוד. </w:t>
            </w:r>
          </w:p>
          <w:p w:rsidR="00F94A3C" w:rsidRDefault="00F94A3C">
            <w:pPr>
              <w:pStyle w:val="a3"/>
              <w:spacing w:line="360" w:lineRule="auto"/>
              <w:ind w:left="1128"/>
              <w:jc w:val="both"/>
              <w:rPr>
                <w:rFonts w:ascii="Arial" w:hAnsi="Arial"/>
                <w:noProof w:val="0"/>
              </w:rPr>
            </w:pPr>
            <w:r>
              <w:rPr>
                <w:rFonts w:ascii="Arial" w:hAnsi="Arial"/>
                <w:noProof w:val="0"/>
                <w:rtl/>
              </w:rPr>
              <w:t xml:space="preserve">  </w:t>
            </w:r>
          </w:p>
          <w:p w:rsidR="00F94A3C" w:rsidRDefault="00F94A3C" w:rsidP="006A07A0">
            <w:pPr>
              <w:pStyle w:val="a3"/>
              <w:numPr>
                <w:ilvl w:val="0"/>
                <w:numId w:val="1"/>
              </w:numPr>
              <w:spacing w:line="360" w:lineRule="auto"/>
              <w:jc w:val="both"/>
              <w:rPr>
                <w:rFonts w:ascii="David" w:hAnsi="David"/>
                <w:color w:val="000000"/>
              </w:rPr>
            </w:pPr>
            <w:r>
              <w:rPr>
                <w:rFonts w:ascii="David" w:hAnsi="David"/>
                <w:color w:val="000000"/>
                <w:rtl/>
              </w:rPr>
              <w:t xml:space="preserve">יוזכר, כי עסקינן בהחלטה שניתנה בבקשה לסעד זמני במסגרת הליך ליישוב סכסוך. </w:t>
            </w:r>
          </w:p>
          <w:p w:rsidR="00F94A3C" w:rsidRDefault="00F94A3C">
            <w:pPr>
              <w:pStyle w:val="1"/>
              <w:spacing w:line="360" w:lineRule="auto"/>
              <w:ind w:left="1080"/>
              <w:jc w:val="both"/>
              <w:rPr>
                <w:rFonts w:ascii="David" w:hAnsi="David" w:cs="David"/>
                <w:color w:val="000000"/>
                <w:sz w:val="24"/>
                <w:szCs w:val="24"/>
              </w:rPr>
            </w:pPr>
          </w:p>
          <w:p w:rsidR="00F94A3C" w:rsidRDefault="00F94A3C">
            <w:pPr>
              <w:pStyle w:val="1"/>
              <w:spacing w:line="360" w:lineRule="auto"/>
              <w:ind w:left="1080"/>
              <w:jc w:val="both"/>
              <w:rPr>
                <w:rFonts w:ascii="David" w:hAnsi="David" w:cs="David"/>
                <w:color w:val="000000"/>
                <w:sz w:val="24"/>
                <w:szCs w:val="24"/>
                <w:rtl/>
              </w:rPr>
            </w:pPr>
            <w:r>
              <w:rPr>
                <w:rFonts w:ascii="David" w:hAnsi="David" w:cs="David"/>
                <w:color w:val="000000"/>
                <w:sz w:val="24"/>
                <w:szCs w:val="24"/>
                <w:rtl/>
              </w:rPr>
              <w:t xml:space="preserve">הלכה פסוקה וידועה היא, שנטיית ערכאת הערעור היא להימנע מהתערבות בהחלטות  הערכאה הדיונית הנוגעות </w:t>
            </w:r>
            <w:proofErr w:type="spellStart"/>
            <w:r>
              <w:rPr>
                <w:rFonts w:ascii="David" w:hAnsi="David" w:cs="David"/>
                <w:color w:val="000000"/>
                <w:sz w:val="24"/>
                <w:szCs w:val="24"/>
                <w:rtl/>
              </w:rPr>
              <w:t>לסעדים</w:t>
            </w:r>
            <w:proofErr w:type="spellEnd"/>
            <w:r>
              <w:rPr>
                <w:rFonts w:ascii="David" w:hAnsi="David" w:cs="David"/>
                <w:color w:val="000000"/>
                <w:sz w:val="24"/>
                <w:szCs w:val="24"/>
                <w:rtl/>
              </w:rPr>
              <w:t xml:space="preserve"> זמניים אלא במשורה ובמקרים חריגים בלבד </w:t>
            </w:r>
            <w:r>
              <w:rPr>
                <w:rFonts w:ascii="David" w:hAnsi="David" w:cs="David"/>
                <w:spacing w:val="6"/>
                <w:sz w:val="24"/>
                <w:szCs w:val="24"/>
                <w:rtl/>
              </w:rPr>
              <w:t xml:space="preserve">[ראו בין היתר: רע"א 5711/12 </w:t>
            </w:r>
            <w:r>
              <w:rPr>
                <w:rFonts w:ascii="David" w:hAnsi="David" w:cs="David"/>
                <w:b/>
                <w:bCs/>
                <w:spacing w:val="6"/>
                <w:sz w:val="24"/>
                <w:szCs w:val="24"/>
                <w:rtl/>
              </w:rPr>
              <w:t xml:space="preserve">מצה בע"מ נ' דלק חברת הדלק הישראלית בע"מ, </w:t>
            </w:r>
            <w:r>
              <w:rPr>
                <w:rFonts w:ascii="David" w:hAnsi="David" w:cs="David"/>
                <w:spacing w:val="6"/>
                <w:sz w:val="24"/>
                <w:szCs w:val="24"/>
                <w:rtl/>
              </w:rPr>
              <w:t xml:space="preserve">פורסם במאגרים האלקטרוניים; רע"א 5072/00 </w:t>
            </w:r>
            <w:r>
              <w:rPr>
                <w:rFonts w:ascii="David" w:hAnsi="David" w:cs="David"/>
                <w:b/>
                <w:bCs/>
                <w:spacing w:val="6"/>
                <w:sz w:val="24"/>
                <w:szCs w:val="24"/>
                <w:rtl/>
              </w:rPr>
              <w:t>איזי יוגב תעשיות בע"מ נ' מסגריית האחים אבו</w:t>
            </w:r>
            <w:r>
              <w:rPr>
                <w:rFonts w:ascii="David" w:hAnsi="David" w:cs="David"/>
                <w:spacing w:val="6"/>
                <w:sz w:val="24"/>
                <w:szCs w:val="24"/>
                <w:rtl/>
              </w:rPr>
              <w:t>, פורסם במאגרים האלקטרוניים; רע"א 3954/98</w:t>
            </w:r>
            <w:r>
              <w:rPr>
                <w:rFonts w:ascii="David" w:hAnsi="David" w:cs="David"/>
                <w:b/>
                <w:bCs/>
                <w:spacing w:val="6"/>
                <w:sz w:val="24"/>
                <w:szCs w:val="24"/>
                <w:rtl/>
              </w:rPr>
              <w:t xml:space="preserve"> קנית השלום השקעות בע"מ נ' </w:t>
            </w:r>
            <w:proofErr w:type="spellStart"/>
            <w:r>
              <w:rPr>
                <w:rFonts w:ascii="David" w:hAnsi="David" w:cs="David"/>
                <w:b/>
                <w:bCs/>
                <w:spacing w:val="6"/>
                <w:sz w:val="24"/>
                <w:szCs w:val="24"/>
                <w:rtl/>
              </w:rPr>
              <w:t>מ.ס.י.פ</w:t>
            </w:r>
            <w:proofErr w:type="spellEnd"/>
            <w:r>
              <w:rPr>
                <w:rFonts w:ascii="David" w:hAnsi="David" w:cs="David"/>
                <w:b/>
                <w:bCs/>
                <w:spacing w:val="6"/>
                <w:sz w:val="24"/>
                <w:szCs w:val="24"/>
                <w:rtl/>
              </w:rPr>
              <w:t xml:space="preserve"> בע"מ ואח'</w:t>
            </w:r>
            <w:r>
              <w:rPr>
                <w:rFonts w:ascii="David" w:hAnsi="David" w:cs="David"/>
                <w:spacing w:val="6"/>
                <w:sz w:val="24"/>
                <w:szCs w:val="24"/>
                <w:rtl/>
              </w:rPr>
              <w:t xml:space="preserve">, פורסם במאגרים האלקטרוניים; רע"א 56/99 </w:t>
            </w:r>
            <w:r>
              <w:rPr>
                <w:rFonts w:ascii="David" w:hAnsi="David" w:cs="David"/>
                <w:b/>
                <w:bCs/>
                <w:spacing w:val="6"/>
                <w:sz w:val="24"/>
                <w:szCs w:val="24"/>
                <w:rtl/>
              </w:rPr>
              <w:t xml:space="preserve">רותם שני יזמות והשקעות בע"מ נ' עפרה </w:t>
            </w:r>
            <w:proofErr w:type="spellStart"/>
            <w:r>
              <w:rPr>
                <w:rFonts w:ascii="David" w:hAnsi="David" w:cs="David"/>
                <w:b/>
                <w:bCs/>
                <w:spacing w:val="6"/>
                <w:sz w:val="24"/>
                <w:szCs w:val="24"/>
                <w:rtl/>
              </w:rPr>
              <w:t>נלה</w:t>
            </w:r>
            <w:proofErr w:type="spellEnd"/>
            <w:r>
              <w:rPr>
                <w:rFonts w:ascii="David" w:hAnsi="David" w:cs="David"/>
                <w:b/>
                <w:bCs/>
                <w:spacing w:val="6"/>
                <w:sz w:val="24"/>
                <w:szCs w:val="24"/>
                <w:rtl/>
              </w:rPr>
              <w:t xml:space="preserve"> מיוזם</w:t>
            </w:r>
            <w:r>
              <w:rPr>
                <w:rFonts w:ascii="David" w:hAnsi="David" w:cs="David"/>
                <w:spacing w:val="6"/>
                <w:sz w:val="24"/>
                <w:szCs w:val="24"/>
                <w:rtl/>
              </w:rPr>
              <w:t xml:space="preserve">, פורסם במאגרים האלקטרוניים; רע"א 3753/99 </w:t>
            </w:r>
            <w:r>
              <w:rPr>
                <w:rFonts w:ascii="David" w:hAnsi="David" w:cs="David"/>
                <w:b/>
                <w:bCs/>
                <w:spacing w:val="6"/>
                <w:sz w:val="24"/>
                <w:szCs w:val="24"/>
                <w:rtl/>
              </w:rPr>
              <w:t>רשת הריבוע הכחול (היפר היפר) בע"מ נ' סופר פארם (ישראל) בע"מ,</w:t>
            </w:r>
            <w:r>
              <w:rPr>
                <w:rFonts w:ascii="David" w:hAnsi="David" w:cs="David"/>
                <w:color w:val="000000"/>
                <w:sz w:val="24"/>
                <w:szCs w:val="24"/>
                <w:rtl/>
              </w:rPr>
              <w:t xml:space="preserve"> פורסם במאגרים האלקטרוניים]. </w:t>
            </w:r>
          </w:p>
          <w:p w:rsidR="00F94A3C" w:rsidRDefault="00F94A3C">
            <w:pPr>
              <w:pStyle w:val="1"/>
              <w:spacing w:line="360" w:lineRule="auto"/>
              <w:ind w:left="1080"/>
              <w:jc w:val="both"/>
              <w:rPr>
                <w:rFonts w:ascii="David" w:hAnsi="David" w:cs="David"/>
                <w:color w:val="000000"/>
                <w:sz w:val="24"/>
                <w:szCs w:val="24"/>
                <w:rtl/>
              </w:rPr>
            </w:pPr>
          </w:p>
          <w:p w:rsidR="00F94A3C" w:rsidRDefault="00F94A3C">
            <w:pPr>
              <w:pStyle w:val="1"/>
              <w:spacing w:line="360" w:lineRule="auto"/>
              <w:ind w:left="1080"/>
              <w:jc w:val="both"/>
              <w:rPr>
                <w:rFonts w:ascii="David" w:hAnsi="David"/>
                <w:color w:val="000000"/>
                <w:rtl/>
              </w:rPr>
            </w:pPr>
            <w:r>
              <w:rPr>
                <w:rFonts w:ascii="David" w:hAnsi="David" w:cs="David"/>
                <w:color w:val="000000"/>
                <w:sz w:val="24"/>
                <w:szCs w:val="24"/>
                <w:rtl/>
              </w:rPr>
              <w:t xml:space="preserve">כן ראו ח' בן נון, </w:t>
            </w:r>
            <w:r>
              <w:rPr>
                <w:rFonts w:ascii="David" w:hAnsi="David" w:cs="David"/>
                <w:b/>
                <w:bCs/>
                <w:color w:val="000000"/>
                <w:sz w:val="24"/>
                <w:szCs w:val="24"/>
                <w:rtl/>
              </w:rPr>
              <w:t xml:space="preserve">הערעור האזרחי </w:t>
            </w:r>
            <w:r>
              <w:rPr>
                <w:rFonts w:ascii="David" w:hAnsi="David" w:cs="David"/>
                <w:color w:val="000000"/>
                <w:sz w:val="24"/>
                <w:szCs w:val="24"/>
                <w:rtl/>
              </w:rPr>
              <w:t xml:space="preserve">(1997) בעמ' 169: </w:t>
            </w:r>
          </w:p>
          <w:p w:rsidR="00F94A3C" w:rsidRDefault="00F94A3C">
            <w:pPr>
              <w:pStyle w:val="1"/>
              <w:spacing w:line="360" w:lineRule="auto"/>
              <w:ind w:left="1080"/>
              <w:jc w:val="both"/>
              <w:rPr>
                <w:rFonts w:ascii="David" w:hAnsi="David" w:cs="David"/>
                <w:color w:val="000000"/>
                <w:sz w:val="24"/>
                <w:szCs w:val="24"/>
                <w:rtl/>
              </w:rPr>
            </w:pPr>
            <w:r>
              <w:rPr>
                <w:rFonts w:ascii="David" w:hAnsi="David" w:cs="David"/>
                <w:b/>
                <w:bCs/>
                <w:color w:val="000000"/>
                <w:sz w:val="24"/>
                <w:szCs w:val="24"/>
                <w:rtl/>
              </w:rPr>
              <w:t>"הושטת סעד זמני על ידי צווי מניעה זמניים וכיוצא באלה, נתונה לשיקול דעתה של הערכאה הראשונה ובית המשפט שלערעור לא יתערב בשיקול דעת זה, אלא אם שוכנע כי נסמך הוא על אדני שווא, וכאשר – מבחינת הערכת הנסיבות לפי מבחן הסבירות – הוא מופרך מעיקרו"</w:t>
            </w:r>
            <w:r>
              <w:rPr>
                <w:rFonts w:ascii="David" w:hAnsi="David" w:cs="David"/>
                <w:color w:val="000000"/>
                <w:sz w:val="24"/>
                <w:szCs w:val="24"/>
                <w:rtl/>
              </w:rPr>
              <w:t xml:space="preserve">. </w:t>
            </w:r>
          </w:p>
          <w:p w:rsidR="00F94A3C" w:rsidRDefault="00F94A3C">
            <w:pPr>
              <w:pStyle w:val="1"/>
              <w:spacing w:line="360" w:lineRule="auto"/>
              <w:ind w:left="1080"/>
              <w:jc w:val="both"/>
              <w:rPr>
                <w:rFonts w:ascii="David" w:hAnsi="David"/>
                <w:color w:val="000000"/>
              </w:rPr>
            </w:pPr>
          </w:p>
          <w:p w:rsidR="00F94A3C" w:rsidRDefault="00F94A3C" w:rsidP="006A07A0">
            <w:pPr>
              <w:pStyle w:val="a3"/>
              <w:numPr>
                <w:ilvl w:val="0"/>
                <w:numId w:val="1"/>
              </w:numPr>
              <w:spacing w:line="360" w:lineRule="auto"/>
              <w:jc w:val="both"/>
              <w:rPr>
                <w:rFonts w:ascii="David" w:hAnsi="David"/>
                <w:color w:val="000000"/>
              </w:rPr>
            </w:pPr>
            <w:r>
              <w:rPr>
                <w:rFonts w:ascii="David" w:hAnsi="David"/>
                <w:rtl/>
              </w:rPr>
              <w:t xml:space="preserve">לית מאן דפליג, כי מקום בו נתגלעה מחלוקת בין הוריו של קטין בעניין מקום המגורים שלו, מסורה ההכרעה בעניין לבית המשפט והשיקול על פיו היא תינתן הוא טובת הקטין. (סעיף 25 לחוק הכשרות המשפטית והאפוטרופסות). </w:t>
            </w:r>
          </w:p>
          <w:p w:rsidR="00F94A3C" w:rsidRDefault="00F94A3C">
            <w:pPr>
              <w:pStyle w:val="a3"/>
              <w:spacing w:line="360" w:lineRule="auto"/>
              <w:ind w:left="1080"/>
              <w:jc w:val="both"/>
              <w:rPr>
                <w:rFonts w:ascii="David" w:hAnsi="David"/>
                <w:color w:val="000000"/>
              </w:rPr>
            </w:pPr>
          </w:p>
          <w:p w:rsidR="00F94A3C" w:rsidRDefault="00F94A3C" w:rsidP="006A07A0">
            <w:pPr>
              <w:pStyle w:val="a3"/>
              <w:numPr>
                <w:ilvl w:val="0"/>
                <w:numId w:val="1"/>
              </w:numPr>
              <w:spacing w:line="360" w:lineRule="auto"/>
              <w:jc w:val="both"/>
              <w:rPr>
                <w:rFonts w:ascii="Arial" w:hAnsi="Arial"/>
                <w:noProof w:val="0"/>
              </w:rPr>
            </w:pPr>
            <w:r>
              <w:rPr>
                <w:rtl/>
              </w:rPr>
              <w:t>במקרה דנא הצדדים חולקים ביניהם האחריות ההורית במשותף וזמני השהות של הקטינים עמם שוויוניים. בית המשפט קמא קבע, כי שאין במעבר כשלעצמו כדי לפגוע בקטינים,  בקשר שלהם עם המבקש או בזמני השהות שלהם עמו, ובדין קבע כן.</w:t>
            </w:r>
          </w:p>
          <w:p w:rsidR="00F94A3C" w:rsidRDefault="00F94A3C">
            <w:pPr>
              <w:pStyle w:val="a3"/>
              <w:spacing w:line="360" w:lineRule="auto"/>
              <w:ind w:left="1080"/>
              <w:jc w:val="both"/>
              <w:rPr>
                <w:rFonts w:ascii="Arial" w:hAnsi="Arial"/>
                <w:noProof w:val="0"/>
              </w:rPr>
            </w:pPr>
          </w:p>
          <w:p w:rsidR="00F94A3C" w:rsidRDefault="00F94A3C" w:rsidP="00102C7B">
            <w:pPr>
              <w:pStyle w:val="a3"/>
              <w:numPr>
                <w:ilvl w:val="0"/>
                <w:numId w:val="1"/>
              </w:numPr>
              <w:spacing w:line="360" w:lineRule="auto"/>
              <w:jc w:val="both"/>
              <w:rPr>
                <w:rFonts w:ascii="Arial" w:hAnsi="Arial"/>
                <w:noProof w:val="0"/>
              </w:rPr>
            </w:pPr>
            <w:r>
              <w:rPr>
                <w:rtl/>
              </w:rPr>
              <w:t xml:space="preserve">בנוסף, לא מצאתי כי יש מקום להתערב במסקנות בית המשפט קמא בעניין עיתוי הגשת הבקשה לצו המניעה, בעניין תום לבו של המבקש ובשאלת הידיעה על כוונת המשיבה </w:t>
            </w:r>
            <w:r>
              <w:rPr>
                <w:rtl/>
              </w:rPr>
              <w:lastRenderedPageBreak/>
              <w:t>להעתיק מקום מגוריה ל</w:t>
            </w:r>
            <w:r w:rsidR="00102C7B">
              <w:rPr>
                <w:rFonts w:hint="cs"/>
                <w:rtl/>
              </w:rPr>
              <w:t>...</w:t>
            </w:r>
            <w:r>
              <w:rPr>
                <w:rtl/>
              </w:rPr>
              <w:t xml:space="preserve">, משהן מבוססות על התשתית הראיייתית שהונחה לפניו ועל התרשמותו מן הצדדים ובחינת גרסותיהם, והן נשענות גם על השכל הישר.  </w:t>
            </w:r>
          </w:p>
          <w:p w:rsidR="00F94A3C" w:rsidRDefault="00F94A3C">
            <w:pPr>
              <w:pStyle w:val="a3"/>
            </w:pPr>
          </w:p>
          <w:p w:rsidR="00F94A3C" w:rsidRDefault="00F94A3C" w:rsidP="00102C7B">
            <w:pPr>
              <w:pStyle w:val="a3"/>
              <w:numPr>
                <w:ilvl w:val="0"/>
                <w:numId w:val="1"/>
              </w:numPr>
              <w:spacing w:line="360" w:lineRule="auto"/>
              <w:jc w:val="both"/>
              <w:rPr>
                <w:rFonts w:ascii="Arial" w:hAnsi="Arial"/>
                <w:noProof w:val="0"/>
                <w:rtl/>
              </w:rPr>
            </w:pPr>
            <w:r>
              <w:rPr>
                <w:rFonts w:ascii="Arial" w:hAnsi="Arial"/>
                <w:noProof w:val="0"/>
                <w:rtl/>
              </w:rPr>
              <w:t xml:space="preserve">הוא הדין גם בנוגע למסקנתו, כי משהוחלט על ידו, לאחר שנתקבלה תגובת המשיבה, על השהיית ההחלטה על פיה נאסר השינוי במקום מגורי הקטינים ובהמשך חיוב המשיבה להשיבם למקום המגורים במושב </w:t>
            </w:r>
            <w:r w:rsidR="00102C7B">
              <w:rPr>
                <w:rFonts w:ascii="Arial" w:hAnsi="Arial" w:hint="cs"/>
                <w:noProof w:val="0"/>
                <w:rtl/>
              </w:rPr>
              <w:t>...</w:t>
            </w:r>
            <w:r>
              <w:rPr>
                <w:rFonts w:ascii="Arial" w:hAnsi="Arial"/>
                <w:noProof w:val="0"/>
                <w:rtl/>
              </w:rPr>
              <w:t xml:space="preserve">, הרי שאין לקבל טענות המבקש בעניין הפרת הצווים השיפוטיים על ידה על כל הכרוך בכך לשיטתו. </w:t>
            </w:r>
          </w:p>
          <w:p w:rsidR="00F94A3C" w:rsidRDefault="00F94A3C">
            <w:pPr>
              <w:pStyle w:val="a3"/>
            </w:pPr>
          </w:p>
          <w:p w:rsidR="00F94A3C" w:rsidRDefault="00F94A3C" w:rsidP="00102C7B">
            <w:pPr>
              <w:pStyle w:val="a3"/>
              <w:numPr>
                <w:ilvl w:val="0"/>
                <w:numId w:val="1"/>
              </w:numPr>
              <w:spacing w:line="360" w:lineRule="auto"/>
              <w:jc w:val="both"/>
              <w:rPr>
                <w:rFonts w:ascii="Arial" w:hAnsi="Arial"/>
                <w:noProof w:val="0"/>
                <w:rtl/>
              </w:rPr>
            </w:pPr>
            <w:r>
              <w:rPr>
                <w:rFonts w:ascii="Arial" w:hAnsi="Arial"/>
                <w:noProof w:val="0"/>
                <w:rtl/>
              </w:rPr>
              <w:t xml:space="preserve">בנסיבות שנוצרו, עת המשיבה פינתה את ביתה במושב </w:t>
            </w:r>
            <w:r w:rsidR="00102C7B">
              <w:rPr>
                <w:rFonts w:ascii="Arial" w:hAnsi="Arial" w:hint="cs"/>
                <w:noProof w:val="0"/>
                <w:rtl/>
              </w:rPr>
              <w:t xml:space="preserve">... </w:t>
            </w:r>
            <w:r>
              <w:rPr>
                <w:rFonts w:ascii="Arial" w:hAnsi="Arial"/>
                <w:noProof w:val="0"/>
                <w:rtl/>
              </w:rPr>
              <w:t>ועברה להתגורר ב</w:t>
            </w:r>
            <w:r w:rsidR="00102C7B">
              <w:rPr>
                <w:rFonts w:ascii="Arial" w:hAnsi="Arial" w:hint="cs"/>
                <w:noProof w:val="0"/>
                <w:rtl/>
              </w:rPr>
              <w:t>...</w:t>
            </w:r>
            <w:r>
              <w:rPr>
                <w:rFonts w:ascii="Arial" w:hAnsi="Arial"/>
                <w:noProof w:val="0"/>
                <w:rtl/>
              </w:rPr>
              <w:t xml:space="preserve"> ועמה הקטינים והוסרה העננה של הפרת הצווים השיפוטיים לכאורה, הרי שבהתאם לדוקטרינת המעשה העשוי נוטה בבירור מאזן הנוחות לטובתה. </w:t>
            </w:r>
          </w:p>
          <w:p w:rsidR="00F94A3C" w:rsidRDefault="00F94A3C">
            <w:pPr>
              <w:pStyle w:val="a3"/>
              <w:rPr>
                <w:rFonts w:ascii="Arial" w:hAnsi="Arial"/>
                <w:noProof w:val="0"/>
              </w:rPr>
            </w:pPr>
          </w:p>
          <w:p w:rsidR="00F94A3C" w:rsidRDefault="00F94A3C" w:rsidP="006A07A0">
            <w:pPr>
              <w:pStyle w:val="a3"/>
              <w:numPr>
                <w:ilvl w:val="0"/>
                <w:numId w:val="1"/>
              </w:numPr>
              <w:spacing w:line="360" w:lineRule="auto"/>
              <w:jc w:val="both"/>
              <w:rPr>
                <w:rFonts w:ascii="Arial" w:hAnsi="Arial"/>
                <w:noProof w:val="0"/>
                <w:rtl/>
              </w:rPr>
            </w:pPr>
            <w:r>
              <w:rPr>
                <w:rFonts w:ascii="Arial" w:hAnsi="Arial"/>
                <w:noProof w:val="0"/>
                <w:rtl/>
              </w:rPr>
              <w:t xml:space="preserve">כוחם של דברים אחרונים אלה יפה שבעתיים עת הבקשה הוגשה, כאמור, במסגרת הליך ליישוב סכסוך מכוח החוק להסדר התדיינויות בסכסוכי משפחה, תשע"ה-2014 על פיו ובהתאם לרציונל המונח בבסיסו ניתן לעתור אך לסעד זמני שתכליתו היא שמירת המצב הקיים או עיכוב יציאה מן הארץ של קטין [סעיף 3(ז) לחוק]. </w:t>
            </w:r>
          </w:p>
          <w:p w:rsidR="00F94A3C" w:rsidRDefault="00F94A3C">
            <w:pPr>
              <w:pStyle w:val="a3"/>
              <w:rPr>
                <w:rFonts w:ascii="Arial" w:hAnsi="Arial"/>
                <w:noProof w:val="0"/>
              </w:rPr>
            </w:pPr>
          </w:p>
          <w:p w:rsidR="00F94A3C" w:rsidRDefault="00F94A3C">
            <w:pPr>
              <w:pStyle w:val="a3"/>
              <w:spacing w:line="360" w:lineRule="auto"/>
              <w:ind w:left="1080"/>
              <w:jc w:val="both"/>
              <w:rPr>
                <w:rFonts w:ascii="Arial" w:hAnsi="Arial"/>
                <w:noProof w:val="0"/>
                <w:rtl/>
              </w:rPr>
            </w:pPr>
            <w:r>
              <w:rPr>
                <w:rFonts w:ascii="Arial" w:hAnsi="Arial"/>
                <w:noProof w:val="0"/>
                <w:rtl/>
              </w:rPr>
              <w:t xml:space="preserve">לפיכך, והיות שבנסיבות שנוצרו אין המדובר עוד בסעד שתכליתו היא שמירת המצב הקיים, ומשנמצא ע"י בית המשפט כי אין בהעתקת מקום המגורים של המשיבה משום פגיעה בקטינים ובטובתם, הרי שלכאורה נשמטת התשתית הנורמטיבית של הבקשה ועל אחת כמה וכמה נוטה מאזן הנוחות לטובתה.  </w:t>
            </w:r>
          </w:p>
          <w:p w:rsidR="00F94A3C" w:rsidRDefault="00F94A3C">
            <w:pPr>
              <w:pStyle w:val="a3"/>
            </w:pPr>
          </w:p>
          <w:p w:rsidR="00F94A3C" w:rsidRDefault="00F94A3C" w:rsidP="006A07A0">
            <w:pPr>
              <w:pStyle w:val="a3"/>
              <w:numPr>
                <w:ilvl w:val="0"/>
                <w:numId w:val="1"/>
              </w:numPr>
              <w:spacing w:line="360" w:lineRule="auto"/>
              <w:jc w:val="both"/>
              <w:rPr>
                <w:rFonts w:ascii="Arial" w:hAnsi="Arial"/>
                <w:noProof w:val="0"/>
                <w:rtl/>
              </w:rPr>
            </w:pPr>
            <w:r>
              <w:rPr>
                <w:rFonts w:ascii="Arial" w:hAnsi="Arial"/>
                <w:noProof w:val="0"/>
                <w:rtl/>
              </w:rPr>
              <w:t xml:space="preserve">ובאשר לגובה ההוצאות בהן חויב המבקש – כידוע, גם בסוגיה זו נקבע בהלכה הפסוקה, כי התערבות ערכאת הערעור תיעשה במשורה ובמקרים חריגים בלבד בהם נפלה טעות משפטית בשיקול הדעת של הערכאה הדיונית או כאשר דבק בהחלטה פגם או פסול מוסרי (ראו והשוו: רע"א 7650/20  </w:t>
            </w:r>
            <w:r>
              <w:rPr>
                <w:rFonts w:ascii="Arial" w:hAnsi="Arial"/>
                <w:b/>
                <w:bCs/>
                <w:noProof w:val="0"/>
              </w:rPr>
              <w:t>Magic Software Enterprises Ltd</w:t>
            </w:r>
            <w:r>
              <w:rPr>
                <w:rFonts w:ascii="Arial" w:hAnsi="Arial"/>
                <w:noProof w:val="0"/>
                <w:rtl/>
              </w:rPr>
              <w:t xml:space="preserve"> </w:t>
            </w:r>
            <w:r>
              <w:rPr>
                <w:rFonts w:ascii="Arial" w:hAnsi="Arial" w:hint="cs"/>
                <w:b/>
                <w:bCs/>
                <w:noProof w:val="0"/>
                <w:rtl/>
              </w:rPr>
              <w:t xml:space="preserve">ואח' נ' </w:t>
            </w:r>
            <w:proofErr w:type="spellStart"/>
            <w:r>
              <w:rPr>
                <w:rFonts w:ascii="Arial" w:hAnsi="Arial" w:hint="cs"/>
                <w:b/>
                <w:bCs/>
                <w:noProof w:val="0"/>
                <w:rtl/>
              </w:rPr>
              <w:t>פאיירפלאי</w:t>
            </w:r>
            <w:proofErr w:type="spellEnd"/>
            <w:r>
              <w:rPr>
                <w:rFonts w:ascii="Arial" w:hAnsi="Arial" w:hint="cs"/>
                <w:b/>
                <w:bCs/>
                <w:noProof w:val="0"/>
                <w:rtl/>
              </w:rPr>
              <w:t xml:space="preserve"> בע"מ ואח'</w:t>
            </w:r>
            <w:r>
              <w:rPr>
                <w:rFonts w:ascii="Arial" w:hAnsi="Arial" w:hint="cs"/>
                <w:noProof w:val="0"/>
                <w:rtl/>
              </w:rPr>
              <w:t xml:space="preserve">, פורסם במאגרים האלקטרוניים; ע"א 6768/01 </w:t>
            </w:r>
            <w:r>
              <w:rPr>
                <w:rFonts w:ascii="Arial" w:hAnsi="Arial" w:hint="cs"/>
                <w:b/>
                <w:bCs/>
                <w:noProof w:val="0"/>
                <w:rtl/>
              </w:rPr>
              <w:t xml:space="preserve">רגב נ' מדינת ישראל, </w:t>
            </w:r>
            <w:r>
              <w:rPr>
                <w:rFonts w:ascii="Arial" w:hAnsi="Arial" w:hint="cs"/>
                <w:noProof w:val="0"/>
                <w:rtl/>
              </w:rPr>
              <w:t xml:space="preserve">פ"ד נט(4)625; ע"א 9833/09 </w:t>
            </w:r>
            <w:r>
              <w:rPr>
                <w:rFonts w:ascii="Arial" w:hAnsi="Arial" w:hint="cs"/>
                <w:b/>
                <w:bCs/>
                <w:noProof w:val="0"/>
                <w:rtl/>
              </w:rPr>
              <w:t xml:space="preserve">כהן נ' מדינת ישראל, </w:t>
            </w:r>
            <w:r>
              <w:rPr>
                <w:rFonts w:ascii="Arial" w:hAnsi="Arial" w:hint="cs"/>
                <w:noProof w:val="0"/>
                <w:rtl/>
              </w:rPr>
              <w:t xml:space="preserve">פורסם במאגרים האלקטרוניים). </w:t>
            </w:r>
          </w:p>
          <w:p w:rsidR="00F94A3C" w:rsidRDefault="00F94A3C">
            <w:pPr>
              <w:pStyle w:val="1"/>
              <w:spacing w:line="360" w:lineRule="auto"/>
              <w:ind w:left="1080"/>
              <w:jc w:val="both"/>
              <w:rPr>
                <w:rFonts w:ascii="David" w:hAnsi="David" w:cs="David"/>
                <w:noProof/>
                <w:color w:val="000000"/>
                <w:sz w:val="24"/>
                <w:szCs w:val="24"/>
              </w:rPr>
            </w:pPr>
          </w:p>
          <w:p w:rsidR="00F94A3C" w:rsidRDefault="00F94A3C">
            <w:pPr>
              <w:pStyle w:val="1"/>
              <w:spacing w:line="360" w:lineRule="auto"/>
              <w:ind w:left="1080"/>
              <w:jc w:val="both"/>
              <w:rPr>
                <w:rFonts w:ascii="David" w:hAnsi="David" w:cs="David"/>
                <w:noProof/>
                <w:color w:val="000000"/>
                <w:sz w:val="24"/>
                <w:szCs w:val="24"/>
              </w:rPr>
            </w:pPr>
            <w:r>
              <w:rPr>
                <w:rFonts w:ascii="David" w:hAnsi="David" w:cs="David"/>
                <w:noProof/>
                <w:color w:val="000000"/>
                <w:sz w:val="24"/>
                <w:szCs w:val="24"/>
                <w:rtl/>
              </w:rPr>
              <w:t xml:space="preserve">לפיכך, לא מצאתי, כי במקרה דנא על רקע ממצאי בית המשפט קמא ואופן ניהול ההליך לפניו יש מקום להתערב בגובה ההוצאות שנפסקו על ידו לטובת המשיבה.   </w:t>
            </w:r>
          </w:p>
          <w:p w:rsidR="00F94A3C" w:rsidRDefault="00F94A3C">
            <w:pPr>
              <w:pStyle w:val="a3"/>
              <w:rPr>
                <w:rFonts w:ascii="David" w:hAnsi="David"/>
                <w:color w:val="000000"/>
              </w:rPr>
            </w:pPr>
          </w:p>
          <w:p w:rsidR="00F94A3C" w:rsidRDefault="00F94A3C" w:rsidP="006A07A0">
            <w:pPr>
              <w:pStyle w:val="a3"/>
              <w:numPr>
                <w:ilvl w:val="0"/>
                <w:numId w:val="1"/>
              </w:numPr>
              <w:spacing w:line="360" w:lineRule="auto"/>
              <w:jc w:val="both"/>
              <w:rPr>
                <w:rFonts w:ascii="David" w:hAnsi="David"/>
                <w:color w:val="000000"/>
                <w:rtl/>
              </w:rPr>
            </w:pPr>
            <w:r>
              <w:rPr>
                <w:rFonts w:ascii="David" w:hAnsi="David"/>
                <w:color w:val="000000"/>
                <w:rtl/>
              </w:rPr>
              <w:t>על יסוד כל האמור לעיל, בקשת רשות הערעור נדחית.</w:t>
            </w:r>
          </w:p>
          <w:p w:rsidR="00F94A3C" w:rsidRDefault="00F94A3C">
            <w:pPr>
              <w:pStyle w:val="a3"/>
              <w:spacing w:line="360" w:lineRule="auto"/>
              <w:ind w:left="1080"/>
              <w:jc w:val="both"/>
              <w:rPr>
                <w:rFonts w:ascii="David" w:hAnsi="David"/>
                <w:color w:val="000000"/>
              </w:rPr>
            </w:pPr>
          </w:p>
          <w:p w:rsidR="00F94A3C" w:rsidRDefault="00F94A3C" w:rsidP="006A07A0">
            <w:pPr>
              <w:pStyle w:val="a3"/>
              <w:numPr>
                <w:ilvl w:val="0"/>
                <w:numId w:val="1"/>
              </w:numPr>
              <w:spacing w:line="360" w:lineRule="auto"/>
              <w:jc w:val="both"/>
              <w:rPr>
                <w:rFonts w:ascii="Arial" w:hAnsi="Arial"/>
                <w:noProof w:val="0"/>
                <w:rtl/>
              </w:rPr>
            </w:pPr>
            <w:r>
              <w:rPr>
                <w:rFonts w:ascii="Arial" w:hAnsi="Arial"/>
                <w:noProof w:val="0"/>
                <w:rtl/>
              </w:rPr>
              <w:t xml:space="preserve">המבקש </w:t>
            </w:r>
            <w:proofErr w:type="spellStart"/>
            <w:r>
              <w:rPr>
                <w:rFonts w:ascii="Arial" w:hAnsi="Arial"/>
                <w:noProof w:val="0"/>
                <w:rtl/>
              </w:rPr>
              <w:t>ישא</w:t>
            </w:r>
            <w:proofErr w:type="spellEnd"/>
            <w:r>
              <w:rPr>
                <w:rFonts w:ascii="Arial" w:hAnsi="Arial"/>
                <w:noProof w:val="0"/>
                <w:rtl/>
              </w:rPr>
              <w:t xml:space="preserve"> בהוצאות המשיבה בסך 3,000 ₪ מתוך העירבון שהופקד על ידו. ככל שהעירבון נשא פירות, הם יוחזרו לידיו. </w:t>
            </w:r>
          </w:p>
          <w:p w:rsidR="00F94A3C" w:rsidRDefault="00F94A3C">
            <w:pPr>
              <w:pStyle w:val="a3"/>
              <w:ind w:left="1080"/>
              <w:jc w:val="both"/>
              <w:rPr>
                <w:rFonts w:ascii="Arial" w:hAnsi="Arial"/>
                <w:noProof w:val="0"/>
              </w:rPr>
            </w:pPr>
          </w:p>
          <w:p w:rsidR="00F94A3C" w:rsidRDefault="00F94A3C" w:rsidP="006A07A0">
            <w:pPr>
              <w:pStyle w:val="a3"/>
              <w:numPr>
                <w:ilvl w:val="0"/>
                <w:numId w:val="1"/>
              </w:numPr>
              <w:spacing w:line="360" w:lineRule="auto"/>
              <w:jc w:val="both"/>
              <w:rPr>
                <w:rFonts w:ascii="Arial" w:hAnsi="Arial"/>
                <w:noProof w:val="0"/>
              </w:rPr>
            </w:pPr>
            <w:r>
              <w:rPr>
                <w:rFonts w:ascii="Arial" w:hAnsi="Arial"/>
                <w:noProof w:val="0"/>
                <w:rtl/>
              </w:rPr>
              <w:t>המזכירות תמציא ההחלטה לצדדים ותסגור התיק.</w:t>
            </w:r>
          </w:p>
          <w:p w:rsidR="00F94A3C" w:rsidRDefault="00F94A3C">
            <w:pPr>
              <w:pStyle w:val="a3"/>
              <w:rPr>
                <w:rFonts w:ascii="Arial" w:hAnsi="Arial"/>
                <w:noProof w:val="0"/>
              </w:rPr>
            </w:pPr>
          </w:p>
          <w:p w:rsidR="00F94A3C" w:rsidRDefault="00F94A3C" w:rsidP="006A07A0">
            <w:pPr>
              <w:pStyle w:val="a3"/>
              <w:numPr>
                <w:ilvl w:val="0"/>
                <w:numId w:val="1"/>
              </w:numPr>
              <w:spacing w:line="360" w:lineRule="auto"/>
              <w:jc w:val="both"/>
              <w:rPr>
                <w:rFonts w:ascii="Arial" w:hAnsi="Arial"/>
                <w:b/>
                <w:bCs/>
                <w:noProof w:val="0"/>
                <w:sz w:val="28"/>
                <w:szCs w:val="28"/>
                <w:u w:val="single"/>
                <w:rtl/>
              </w:rPr>
            </w:pPr>
            <w:r>
              <w:rPr>
                <w:rFonts w:ascii="Arial" w:hAnsi="Arial"/>
                <w:noProof w:val="0"/>
                <w:rtl/>
              </w:rPr>
              <w:lastRenderedPageBreak/>
              <w:t xml:space="preserve">ההחלטה ניתנת לפרסום, תוך השמטת שמות הצדדים ופרטים מזהים נוספים. </w:t>
            </w:r>
          </w:p>
        </w:tc>
      </w:tr>
      <w:tr w:rsidR="00F94A3C" w:rsidTr="00F94A3C">
        <w:trPr>
          <w:jc w:val="center"/>
        </w:trPr>
        <w:tc>
          <w:tcPr>
            <w:tcW w:w="8820" w:type="dxa"/>
          </w:tcPr>
          <w:p w:rsidR="00F94A3C" w:rsidRDefault="00F94A3C">
            <w:pPr>
              <w:bidi w:val="0"/>
              <w:jc w:val="center"/>
              <w:rPr>
                <w:rFonts w:ascii="Arial" w:hAnsi="Arial"/>
                <w:b/>
                <w:bCs/>
                <w:noProof w:val="0"/>
                <w:sz w:val="32"/>
                <w:szCs w:val="32"/>
                <w:u w:val="single"/>
              </w:rPr>
            </w:pPr>
          </w:p>
        </w:tc>
      </w:tr>
    </w:tbl>
    <w:p w:rsidR="00F94A3C" w:rsidRDefault="00F94A3C" w:rsidP="00F94A3C">
      <w:pPr>
        <w:spacing w:line="360" w:lineRule="auto"/>
        <w:jc w:val="both"/>
        <w:rPr>
          <w:rFonts w:ascii="Arial" w:hAnsi="Arial"/>
          <w:noProof w:val="0"/>
          <w:rtl/>
        </w:rPr>
      </w:pPr>
      <w:bookmarkStart w:id="1" w:name="NGCSBookmark"/>
      <w:bookmarkEnd w:id="1"/>
      <w:r>
        <w:rPr>
          <w:rFonts w:ascii="Arial" w:hAnsi="Arial"/>
          <w:noProof w:val="0"/>
          <w:rtl/>
        </w:rPr>
        <w:t xml:space="preserve">ניתנה היום, </w:t>
      </w:r>
      <w:sdt>
        <w:sdtPr>
          <w:rPr>
            <w:rtl/>
          </w:rPr>
          <w:alias w:val="1455"/>
          <w:tag w:val="1455"/>
          <w:id w:val="1666048407"/>
          <w:text w:multiLine="1"/>
        </w:sdtPr>
        <w:sdtEndPr/>
        <w:sdtContent>
          <w:r>
            <w:rPr>
              <w:rFonts w:ascii="Arial" w:hAnsi="Arial"/>
              <w:noProof w:val="0"/>
              <w:rtl/>
            </w:rPr>
            <w:t>ט"ז אב תשפ"ג</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03 אוגוסט 2023</w:t>
          </w:r>
        </w:sdtContent>
      </w:sdt>
      <w:r>
        <w:rPr>
          <w:rFonts w:ascii="Arial" w:hAnsi="Arial"/>
          <w:noProof w:val="0"/>
          <w:rtl/>
        </w:rPr>
        <w:t>, בהעדר הצדדים.</w:t>
      </w:r>
    </w:p>
    <w:p w:rsidR="00F94A3C" w:rsidRDefault="00F94A3C" w:rsidP="00F94A3C">
      <w:pPr>
        <w:tabs>
          <w:tab w:val="left" w:pos="2553"/>
        </w:tabs>
        <w:rPr>
          <w:rtl/>
        </w:rPr>
      </w:pPr>
      <w:r>
        <w:rPr>
          <w:rtl/>
        </w:rPr>
        <w:tab/>
      </w:r>
      <w:r>
        <w:rPr>
          <w:rtl/>
        </w:rPr>
        <w:tab/>
        <w:t xml:space="preserve">        </w:t>
      </w:r>
      <w:sdt>
        <w:sdtPr>
          <w:rPr>
            <w:rtl/>
          </w:rPr>
          <w:alias w:val="MergeField"/>
          <w:tag w:val="1237"/>
          <w:id w:val="587894084"/>
        </w:sdtPr>
        <w:sdtEndPr/>
        <w:sdtContent>
          <w:r>
            <w:drawing>
              <wp:inline distT="0" distB="0" distL="0" distR="0">
                <wp:extent cx="1666875" cy="1047750"/>
                <wp:effectExtent l="0" t="0" r="9525"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66875" cy="1047750"/>
                        </a:xfrm>
                        <a:prstGeom prst="rect">
                          <a:avLst/>
                        </a:prstGeom>
                        <a:noFill/>
                        <a:ln>
                          <a:noFill/>
                        </a:ln>
                      </pic:spPr>
                    </pic:pic>
                  </a:graphicData>
                </a:graphic>
              </wp:inline>
            </w:drawing>
          </w:r>
        </w:sdtContent>
      </w:sdt>
    </w:p>
    <w:p w:rsidR="00F94A3C" w:rsidRDefault="00F94A3C" w:rsidP="00F94A3C">
      <w:pPr>
        <w:tabs>
          <w:tab w:val="left" w:pos="2553"/>
        </w:tabs>
        <w:rPr>
          <w:rFonts w:ascii="Arial" w:hAnsi="Arial"/>
          <w:noProof w:val="0"/>
        </w:rPr>
      </w:pPr>
    </w:p>
    <w:p w:rsidR="00F94A3C" w:rsidRDefault="00F94A3C" w:rsidP="00F94A3C">
      <w:pPr>
        <w:rPr>
          <w:rFonts w:ascii="Arial" w:hAnsi="Arial"/>
          <w:rtl/>
        </w:rPr>
      </w:pPr>
    </w:p>
    <w:p w:rsidR="00F94A3C" w:rsidRDefault="00F94A3C" w:rsidP="00F94A3C">
      <w:pPr>
        <w:rPr>
          <w:rFonts w:ascii="Arial" w:hAnsi="Arial"/>
          <w:rtl/>
        </w:rPr>
      </w:pPr>
    </w:p>
    <w:p w:rsidR="00F94A3C" w:rsidRDefault="00F94A3C" w:rsidP="00F94A3C">
      <w:pPr>
        <w:rPr>
          <w:rFonts w:ascii="Arial" w:hAnsi="Arial"/>
          <w:rtl/>
        </w:rPr>
      </w:pPr>
    </w:p>
    <w:p w:rsidR="00F94A3C" w:rsidRDefault="00F94A3C" w:rsidP="00F94A3C">
      <w:pPr>
        <w:rPr>
          <w:rFonts w:ascii="Arial" w:hAnsi="Arial"/>
          <w:rtl/>
        </w:rPr>
      </w:pPr>
    </w:p>
    <w:p w:rsidR="00F94A3C" w:rsidRDefault="00F94A3C" w:rsidP="00F94A3C">
      <w:pPr>
        <w:rPr>
          <w:rFonts w:ascii="Arial" w:hAnsi="Arial"/>
          <w:rtl/>
        </w:rPr>
      </w:pPr>
    </w:p>
    <w:p w:rsidR="00F94A3C" w:rsidRDefault="00F94A3C" w:rsidP="00F94A3C">
      <w:pPr>
        <w:rPr>
          <w:rFonts w:ascii="Arial" w:hAnsi="Arial"/>
          <w:rtl/>
        </w:rPr>
      </w:pPr>
    </w:p>
    <w:p w:rsidR="00F94A3C" w:rsidRDefault="00F94A3C" w:rsidP="00F94A3C">
      <w:pPr>
        <w:rPr>
          <w:rFonts w:ascii="Arial" w:hAnsi="Arial"/>
          <w:rtl/>
        </w:rPr>
      </w:pPr>
    </w:p>
    <w:p w:rsidR="00F94A3C" w:rsidRDefault="00F94A3C" w:rsidP="00F94A3C">
      <w:pPr>
        <w:rPr>
          <w:rFonts w:ascii="Arial" w:hAnsi="Arial"/>
          <w:rtl/>
        </w:rPr>
      </w:pPr>
    </w:p>
    <w:p w:rsidR="00F94A3C" w:rsidRDefault="00F94A3C" w:rsidP="00F94A3C">
      <w:pPr>
        <w:rPr>
          <w:rFonts w:ascii="Arial" w:hAnsi="Arial"/>
          <w:rtl/>
        </w:rPr>
      </w:pPr>
    </w:p>
    <w:p w:rsidR="00F94A3C" w:rsidRDefault="00F94A3C" w:rsidP="00F94A3C">
      <w:pPr>
        <w:tabs>
          <w:tab w:val="left" w:pos="6543"/>
        </w:tabs>
        <w:rPr>
          <w:rFonts w:ascii="Arial" w:hAnsi="Arial"/>
          <w:rtl/>
        </w:rPr>
      </w:pPr>
      <w:r>
        <w:rPr>
          <w:rFonts w:ascii="Arial" w:hAnsi="Arial"/>
          <w:rtl/>
        </w:rPr>
        <w:tab/>
      </w:r>
    </w:p>
    <w:p w:rsidR="00504EE8" w:rsidRDefault="00504EE8"/>
    <w:sectPr w:rsidR="00504EE8" w:rsidSect="00897C85">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4E6D6C"/>
    <w:multiLevelType w:val="hybridMultilevel"/>
    <w:tmpl w:val="9D962A20"/>
    <w:lvl w:ilvl="0" w:tplc="78CA6E34">
      <w:start w:val="1"/>
      <w:numFmt w:val="decimal"/>
      <w:lvlText w:val="%1."/>
      <w:lvlJc w:val="left"/>
      <w:pPr>
        <w:ind w:left="1080" w:hanging="360"/>
      </w:pPr>
      <w:rPr>
        <w:b w:val="0"/>
        <w:bCs w:val="0"/>
        <w:sz w:val="24"/>
        <w:szCs w:val="24"/>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76DE671D"/>
    <w:multiLevelType w:val="hybridMultilevel"/>
    <w:tmpl w:val="E40E6C54"/>
    <w:lvl w:ilvl="0" w:tplc="7660CB40">
      <w:start w:val="1"/>
      <w:numFmt w:val="hebrew1"/>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A3C"/>
    <w:rsid w:val="00102C7B"/>
    <w:rsid w:val="00504EE8"/>
    <w:rsid w:val="00897C85"/>
    <w:rsid w:val="00AC0972"/>
    <w:rsid w:val="00E5416E"/>
    <w:rsid w:val="00F94A3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AEC9A3-32E7-4F1C-B7FB-D9155A521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4A3C"/>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94A3C"/>
    <w:pPr>
      <w:ind w:left="720"/>
      <w:contextualSpacing/>
    </w:pPr>
  </w:style>
  <w:style w:type="paragraph" w:customStyle="1" w:styleId="1">
    <w:name w:val="פיסקת רשימה1"/>
    <w:basedOn w:val="a"/>
    <w:qFormat/>
    <w:rsid w:val="00F94A3C"/>
    <w:pPr>
      <w:spacing w:after="160" w:line="252" w:lineRule="auto"/>
      <w:ind w:left="720"/>
      <w:contextualSpacing/>
    </w:pPr>
    <w:rPr>
      <w:rFonts w:ascii="Calibri" w:hAnsi="Calibri" w:cs="Arial"/>
      <w:noProof w:val="0"/>
      <w:sz w:val="22"/>
      <w:szCs w:val="22"/>
    </w:rPr>
  </w:style>
  <w:style w:type="table" w:styleId="a4">
    <w:name w:val="Table Grid"/>
    <w:basedOn w:val="a1"/>
    <w:rsid w:val="00F94A3C"/>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semiHidden/>
    <w:unhideWhenUsed/>
    <w:rsid w:val="00AC0972"/>
    <w:pPr>
      <w:tabs>
        <w:tab w:val="center" w:pos="4153"/>
        <w:tab w:val="right" w:pos="8306"/>
      </w:tabs>
    </w:pPr>
  </w:style>
  <w:style w:type="character" w:customStyle="1" w:styleId="a6">
    <w:name w:val="כותרת עליונה תו"/>
    <w:basedOn w:val="a0"/>
    <w:link w:val="a5"/>
    <w:semiHidden/>
    <w:rsid w:val="00AC0972"/>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4097731">
      <w:bodyDiv w:val="1"/>
      <w:marLeft w:val="0"/>
      <w:marRight w:val="0"/>
      <w:marTop w:val="0"/>
      <w:marBottom w:val="0"/>
      <w:divBdr>
        <w:top w:val="none" w:sz="0" w:space="0" w:color="auto"/>
        <w:left w:val="none" w:sz="0" w:space="0" w:color="auto"/>
        <w:bottom w:val="none" w:sz="0" w:space="0" w:color="auto"/>
        <w:right w:val="none" w:sz="0" w:space="0" w:color="auto"/>
      </w:divBdr>
    </w:div>
    <w:div w:id="135719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82617B82D8D4059BAC8EFE10F14BC58"/>
        <w:category>
          <w:name w:val="כללי"/>
          <w:gallery w:val="placeholder"/>
        </w:category>
        <w:types>
          <w:type w:val="bbPlcHdr"/>
        </w:types>
        <w:behaviors>
          <w:behavior w:val="content"/>
        </w:behaviors>
        <w:guid w:val="{C150A617-D977-4221-804F-1AAE8D150741}"/>
      </w:docPartPr>
      <w:docPartBody>
        <w:p w:rsidR="00DD0C0C" w:rsidRDefault="000C42DB" w:rsidP="000C42DB">
          <w:pPr>
            <w:pStyle w:val="982617B82D8D4059BAC8EFE10F14BC58"/>
          </w:pPr>
          <w:r>
            <w:rPr>
              <w:rFonts w:ascii="Arial" w:hAnsi="Arial"/>
              <w:b/>
              <w:bCs/>
              <w:sz w:val="26"/>
              <w:szCs w:val="26"/>
              <w:rtl/>
            </w:rPr>
            <w:t>שם צד א' ללא שם של חסוי</w:t>
          </w:r>
        </w:p>
      </w:docPartBody>
    </w:docPart>
    <w:docPart>
      <w:docPartPr>
        <w:name w:val="8EC01184AF944CBC8C9F52614FA4D139"/>
        <w:category>
          <w:name w:val="כללי"/>
          <w:gallery w:val="placeholder"/>
        </w:category>
        <w:types>
          <w:type w:val="bbPlcHdr"/>
        </w:types>
        <w:behaviors>
          <w:behavior w:val="content"/>
        </w:behaviors>
        <w:guid w:val="{C03B2289-1778-4DE6-932E-3D3C26367F68}"/>
      </w:docPartPr>
      <w:docPartBody>
        <w:p w:rsidR="00DD0C0C" w:rsidRDefault="000C42DB" w:rsidP="000C42DB">
          <w:pPr>
            <w:pStyle w:val="8EC01184AF944CBC8C9F52614FA4D139"/>
          </w:pPr>
          <w:r>
            <w:rPr>
              <w:rFonts w:ascii="Arial" w:hAnsi="Arial"/>
              <w:b/>
              <w:bCs/>
              <w:sz w:val="26"/>
              <w:szCs w:val="26"/>
              <w:rtl/>
            </w:rPr>
            <w:t>שם צד ב' ללא שם של חסוי</w:t>
          </w:r>
        </w:p>
      </w:docPartBody>
    </w:docPart>
    <w:docPart>
      <w:docPartPr>
        <w:name w:val="F2999FBCE65444BFBB87EF581C626C8E"/>
        <w:category>
          <w:name w:val="כללי"/>
          <w:gallery w:val="placeholder"/>
        </w:category>
        <w:types>
          <w:type w:val="bbPlcHdr"/>
        </w:types>
        <w:behaviors>
          <w:behavior w:val="content"/>
        </w:behaviors>
        <w:guid w:val="{035480E2-8EEA-4B9C-921E-4D2F6C9131D5}"/>
      </w:docPartPr>
      <w:docPartBody>
        <w:p w:rsidR="00DD0C0C" w:rsidRDefault="000C42DB" w:rsidP="000C42DB">
          <w:pPr>
            <w:pStyle w:val="F2999FBCE65444BFBB87EF581C626C8E"/>
          </w:pPr>
          <w:r>
            <w:rPr>
              <w:rFonts w:ascii="Arial" w:hAnsi="Arial"/>
              <w:b/>
              <w:bCs/>
              <w:sz w:val="26"/>
              <w:szCs w:val="26"/>
              <w:rtl/>
            </w:rPr>
            <w:t>שם צד א' ללא שם של חסוי</w:t>
          </w:r>
        </w:p>
      </w:docPartBody>
    </w:docPart>
    <w:docPart>
      <w:docPartPr>
        <w:name w:val="E138678AF2644FA4AA86D05596B614F7"/>
        <w:category>
          <w:name w:val="כללי"/>
          <w:gallery w:val="placeholder"/>
        </w:category>
        <w:types>
          <w:type w:val="bbPlcHdr"/>
        </w:types>
        <w:behaviors>
          <w:behavior w:val="content"/>
        </w:behaviors>
        <w:guid w:val="{379CC159-16DA-49F6-8729-0F8FE4DA2882}"/>
      </w:docPartPr>
      <w:docPartBody>
        <w:p w:rsidR="00DD0C0C" w:rsidRDefault="000C42DB" w:rsidP="000C42DB">
          <w:pPr>
            <w:pStyle w:val="E138678AF2644FA4AA86D05596B614F7"/>
          </w:pPr>
          <w:r>
            <w:rPr>
              <w:b/>
              <w:bCs/>
              <w:sz w:val="26"/>
              <w:szCs w:val="26"/>
              <w:rtl/>
            </w:rPr>
            <w:t>שם תיק ללא שמות חסויים</w:t>
          </w:r>
        </w:p>
      </w:docPartBody>
    </w:docPart>
    <w:docPart>
      <w:docPartPr>
        <w:name w:val="42342ED7171B494DA4BAFC8D85721DDD"/>
        <w:category>
          <w:name w:val="כללי"/>
          <w:gallery w:val="placeholder"/>
        </w:category>
        <w:types>
          <w:type w:val="bbPlcHdr"/>
        </w:types>
        <w:behaviors>
          <w:behavior w:val="content"/>
        </w:behaviors>
        <w:guid w:val="{87546300-CD00-4800-A993-BB3F6DAD4C2B}"/>
      </w:docPartPr>
      <w:docPartBody>
        <w:p w:rsidR="00DD0C0C" w:rsidRDefault="000C42DB" w:rsidP="000C42DB">
          <w:pPr>
            <w:pStyle w:val="42342ED7171B494DA4BAFC8D85721DDD"/>
          </w:pPr>
          <w:r>
            <w:rPr>
              <w:sz w:val="20"/>
              <w:szCs w:val="20"/>
              <w:rtl/>
            </w:rPr>
            <w:t>מספר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2DB"/>
    <w:rsid w:val="000C42DB"/>
    <w:rsid w:val="00DD0C0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982617B82D8D4059BAC8EFE10F14BC58">
    <w:name w:val="982617B82D8D4059BAC8EFE10F14BC58"/>
    <w:rsid w:val="000C42DB"/>
    <w:pPr>
      <w:bidi/>
    </w:pPr>
  </w:style>
  <w:style w:type="paragraph" w:customStyle="1" w:styleId="8EC01184AF944CBC8C9F52614FA4D139">
    <w:name w:val="8EC01184AF944CBC8C9F52614FA4D139"/>
    <w:rsid w:val="000C42DB"/>
    <w:pPr>
      <w:bidi/>
    </w:pPr>
  </w:style>
  <w:style w:type="paragraph" w:customStyle="1" w:styleId="F2999FBCE65444BFBB87EF581C626C8E">
    <w:name w:val="F2999FBCE65444BFBB87EF581C626C8E"/>
    <w:rsid w:val="000C42DB"/>
    <w:pPr>
      <w:bidi/>
    </w:pPr>
  </w:style>
  <w:style w:type="paragraph" w:customStyle="1" w:styleId="6A3A3D83921C43B58B25602DC4448770">
    <w:name w:val="6A3A3D83921C43B58B25602DC4448770"/>
    <w:rsid w:val="000C42DB"/>
    <w:pPr>
      <w:bidi/>
    </w:pPr>
  </w:style>
  <w:style w:type="paragraph" w:customStyle="1" w:styleId="E138678AF2644FA4AA86D05596B614F7">
    <w:name w:val="E138678AF2644FA4AA86D05596B614F7"/>
    <w:rsid w:val="000C42DB"/>
    <w:pPr>
      <w:bidi/>
    </w:pPr>
  </w:style>
  <w:style w:type="paragraph" w:customStyle="1" w:styleId="42342ED7171B494DA4BAFC8D85721DDD">
    <w:name w:val="42342ED7171B494DA4BAFC8D85721DDD"/>
    <w:rsid w:val="000C42DB"/>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2222</Words>
  <Characters>11112</Characters>
  <Application>Microsoft Office Word</Application>
  <DocSecurity>4</DocSecurity>
  <Lines>92</Lines>
  <Paragraphs>26</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פאני גילת כהן</dc:creator>
  <cp:keywords/>
  <dc:description/>
  <cp:lastModifiedBy>אטל אזרואל</cp:lastModifiedBy>
  <cp:revision>2</cp:revision>
  <dcterms:created xsi:type="dcterms:W3CDTF">2023-08-09T09:15:00Z</dcterms:created>
  <dcterms:modified xsi:type="dcterms:W3CDTF">2023-08-09T09:15:00Z</dcterms:modified>
</cp:coreProperties>
</file>